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spacing w:before="340" w:beforeAutospacing="0" w:after="330" w:afterAutospacing="0" w:line="576" w:lineRule="auto"/>
        <w:ind w:left="198"/>
        <w:jc w:val="both"/>
      </w:pPr>
      <w:r>
        <w:rPr>
          <w:rFonts w:ascii="Times New Roman" w:hAnsi="Times New Roman" w:cs="Times New Roman"/>
          <w:sz w:val="32"/>
          <w:szCs w:val="32"/>
        </w:rPr>
        <w:t> </w:t>
      </w:r>
    </w:p>
    <w:p>
      <w:pPr>
        <w:spacing w:before="100" w:beforeAutospacing="1" w:after="100" w:afterAutospacing="1"/>
        <w:jc w:val="both"/>
      </w:pPr>
      <w:r>
        <w:rPr>
          <w:rFonts w:ascii="Times New Roman" w:hAnsi="Times New Roman" w:cs="Times New Roman"/>
          <w:sz w:val="32"/>
          <w:szCs w:val="32"/>
        </w:rPr>
        <w:t> </w:t>
      </w:r>
    </w:p>
    <w:p>
      <w:pPr>
        <w:spacing w:after="120"/>
        <w:ind w:left="420" w:firstLine="640"/>
        <w:jc w:val="both"/>
      </w:pPr>
      <w:r>
        <w:rPr>
          <w:rFonts w:ascii="Times New Roman" w:hAnsi="Times New Roman" w:cs="Times New Roman"/>
          <w:sz w:val="32"/>
          <w:szCs w:val="32"/>
        </w:rPr>
        <w:t> </w:t>
      </w:r>
    </w:p>
    <w:p>
      <w:pPr>
        <w:spacing w:after="120"/>
        <w:ind w:left="420" w:firstLine="640"/>
        <w:jc w:val="both"/>
      </w:pPr>
      <w:r>
        <w:rPr>
          <w:rFonts w:ascii="Times New Roman" w:hAnsi="Times New Roman" w:cs="Times New Roman"/>
          <w:sz w:val="32"/>
          <w:szCs w:val="32"/>
        </w:rPr>
        <w:t> </w:t>
      </w:r>
    </w:p>
    <w:p>
      <w:pPr>
        <w:spacing w:after="120"/>
        <w:ind w:left="420" w:firstLine="640"/>
        <w:jc w:val="both"/>
      </w:pPr>
      <w:r>
        <w:rPr>
          <w:rFonts w:ascii="Times New Roman" w:hAnsi="Times New Roman" w:cs="Times New Roman"/>
          <w:sz w:val="32"/>
          <w:szCs w:val="32"/>
        </w:rPr>
        <w:t>  </w:t>
      </w:r>
    </w:p>
    <w:p>
      <w:pPr>
        <w:keepNext/>
        <w:spacing w:before="100" w:beforeAutospacing="1" w:after="100" w:afterAutospacing="1"/>
        <w:ind w:left="198"/>
        <w:jc w:val="center"/>
      </w:pPr>
      <w:r>
        <w:rPr>
          <w:rFonts w:hint="eastAsia" w:ascii="方正小标宋简体" w:eastAsia="方正小标宋简体"/>
          <w:sz w:val="44"/>
          <w:szCs w:val="44"/>
        </w:rPr>
        <w:t>2022年度呼伦贝尔职业技术学院部门决算公开</w:t>
      </w:r>
    </w:p>
    <w:p>
      <w:pPr>
        <w:spacing w:before="100" w:beforeAutospacing="1" w:after="100" w:afterAutospacing="1"/>
        <w:jc w:val="both"/>
      </w:pPr>
      <w:r>
        <w:rPr>
          <w:rFonts w:ascii="Times New Roman" w:hAnsi="Times New Roman" w:cs="Times New Roman"/>
          <w:sz w:val="21"/>
          <w:szCs w:val="21"/>
        </w:rPr>
        <w:t> </w:t>
      </w:r>
    </w:p>
    <w:p>
      <w:pPr>
        <w:spacing w:after="120"/>
        <w:ind w:left="420" w:firstLine="420"/>
        <w:jc w:val="both"/>
      </w:pPr>
      <w:r>
        <w:rPr>
          <w:rFonts w:ascii="Times New Roman" w:hAnsi="Times New Roman" w:cs="Times New Roman"/>
          <w:sz w:val="21"/>
          <w:szCs w:val="21"/>
        </w:rPr>
        <w:t> </w:t>
      </w:r>
    </w:p>
    <w:p>
      <w:pPr>
        <w:spacing w:after="120"/>
        <w:ind w:left="420" w:firstLine="420"/>
        <w:jc w:val="both"/>
      </w:pPr>
      <w:r>
        <w:rPr>
          <w:rFonts w:ascii="Times New Roman" w:hAnsi="Times New Roman" w:cs="Times New Roman"/>
          <w:sz w:val="21"/>
          <w:szCs w:val="21"/>
        </w:rPr>
        <w:t xml:space="preserve">  </w:t>
      </w:r>
    </w:p>
    <w:p>
      <w:pPr>
        <w:spacing w:after="120"/>
        <w:ind w:left="420" w:firstLine="420"/>
        <w:jc w:val="both"/>
      </w:pPr>
      <w:r>
        <w:rPr>
          <w:rFonts w:ascii="Times New Roman" w:hAnsi="Times New Roman" w:cs="Times New Roman"/>
          <w:sz w:val="21"/>
          <w:szCs w:val="21"/>
        </w:rPr>
        <w:t> </w:t>
      </w:r>
    </w:p>
    <w:p>
      <w:pPr>
        <w:spacing w:after="120"/>
        <w:ind w:left="420" w:firstLine="420"/>
        <w:jc w:val="both"/>
      </w:pPr>
      <w:r>
        <w:rPr>
          <w:rFonts w:ascii="Times New Roman" w:hAnsi="Times New Roman" w:cs="Times New Roman"/>
          <w:sz w:val="21"/>
          <w:szCs w:val="21"/>
        </w:rPr>
        <w:t> </w:t>
      </w:r>
    </w:p>
    <w:p>
      <w:pPr>
        <w:spacing w:after="120"/>
        <w:ind w:left="420" w:firstLine="420"/>
        <w:jc w:val="both"/>
      </w:pPr>
      <w:r>
        <w:rPr>
          <w:rFonts w:ascii="Times New Roman" w:hAnsi="Times New Roman" w:cs="Times New Roman"/>
          <w:sz w:val="21"/>
          <w:szCs w:val="21"/>
        </w:rPr>
        <w:t> </w:t>
      </w:r>
    </w:p>
    <w:p>
      <w:pPr>
        <w:spacing w:after="120"/>
        <w:ind w:left="420" w:firstLine="420"/>
        <w:jc w:val="both"/>
      </w:pPr>
      <w:r>
        <w:rPr>
          <w:rFonts w:ascii="Times New Roman" w:hAnsi="Times New Roman" w:cs="Times New Roman"/>
          <w:sz w:val="21"/>
          <w:szCs w:val="21"/>
        </w:rPr>
        <w:t> </w:t>
      </w:r>
    </w:p>
    <w:p>
      <w:pPr>
        <w:spacing w:before="3" w:after="120"/>
        <w:ind w:firstLine="200"/>
        <w:jc w:val="both"/>
      </w:pPr>
      <w:r>
        <w:rPr>
          <w:rFonts w:hint="eastAsia"/>
          <w:sz w:val="32"/>
          <w:szCs w:val="32"/>
        </w:rPr>
        <w:t> </w:t>
      </w:r>
    </w:p>
    <w:p>
      <w:pPr>
        <w:spacing w:before="3" w:after="120"/>
        <w:ind w:firstLine="200"/>
        <w:jc w:val="both"/>
      </w:pPr>
      <w:r>
        <w:rPr>
          <w:rFonts w:hint="eastAsia"/>
          <w:color w:val="0000FF"/>
          <w:sz w:val="32"/>
          <w:szCs w:val="32"/>
        </w:rPr>
        <w:t> </w:t>
      </w:r>
    </w:p>
    <w:p>
      <w:pPr>
        <w:spacing w:before="3" w:after="120"/>
        <w:ind w:firstLine="200"/>
        <w:jc w:val="both"/>
      </w:pPr>
      <w:r>
        <w:rPr>
          <w:rFonts w:hint="eastAsia"/>
          <w:color w:val="0000FF"/>
          <w:sz w:val="32"/>
          <w:szCs w:val="32"/>
        </w:rPr>
        <w:t> </w:t>
      </w:r>
    </w:p>
    <w:p>
      <w:pPr>
        <w:spacing w:before="3" w:after="120"/>
        <w:ind w:firstLine="200"/>
        <w:jc w:val="both"/>
      </w:pPr>
      <w:r>
        <w:rPr>
          <w:rFonts w:hint="eastAsia"/>
          <w:color w:val="0000FF"/>
          <w:sz w:val="32"/>
          <w:szCs w:val="32"/>
        </w:rPr>
        <w:t> </w:t>
      </w:r>
    </w:p>
    <w:p>
      <w:pPr>
        <w:spacing w:before="3" w:after="120"/>
        <w:ind w:firstLine="200"/>
        <w:jc w:val="both"/>
      </w:pPr>
      <w:r>
        <w:rPr>
          <w:rFonts w:ascii="Times New Roman" w:hAnsi="Times New Roman" w:cs="Times New Roman"/>
          <w:sz w:val="10"/>
          <w:szCs w:val="10"/>
        </w:rPr>
        <w:t> </w:t>
      </w:r>
    </w:p>
    <w:p>
      <w:pPr>
        <w:spacing w:before="100" w:beforeAutospacing="1" w:after="100" w:afterAutospacing="1"/>
        <w:jc w:val="center"/>
      </w:pPr>
      <w:r>
        <w:rPr>
          <w:rFonts w:hint="eastAsia"/>
          <w:b/>
          <w:bCs/>
          <w:sz w:val="48"/>
          <w:szCs w:val="48"/>
        </w:rPr>
        <w:t>目</w:t>
      </w:r>
      <w:r>
        <w:rPr>
          <w:rFonts w:ascii="Times New Roman" w:hAnsi="Times New Roman" w:cs="Times New Roman"/>
          <w:b/>
          <w:bCs/>
          <w:sz w:val="48"/>
          <w:szCs w:val="48"/>
        </w:rPr>
        <w:t xml:space="preserve">  </w:t>
      </w:r>
      <w:r>
        <w:rPr>
          <w:rFonts w:hint="eastAsia"/>
          <w:b/>
          <w:bCs/>
          <w:sz w:val="48"/>
          <w:szCs w:val="48"/>
        </w:rPr>
        <w:t>录</w:t>
      </w:r>
    </w:p>
    <w:p>
      <w:pPr>
        <w:spacing w:before="100" w:beforeAutospacing="1" w:after="100" w:afterAutospacing="1" w:line="360" w:lineRule="auto"/>
        <w:jc w:val="both"/>
      </w:pPr>
      <w:r>
        <w:rPr>
          <w:rFonts w:hint="eastAsia" w:ascii="黑体" w:hAnsi="黑体" w:eastAsia="黑体"/>
          <w:sz w:val="32"/>
          <w:szCs w:val="32"/>
        </w:rPr>
        <w:t>第一部分 部门概况</w:t>
      </w:r>
    </w:p>
    <w:p>
      <w:pPr>
        <w:spacing w:before="100" w:beforeAutospacing="1" w:after="100" w:afterAutospacing="1" w:line="360" w:lineRule="auto"/>
        <w:jc w:val="both"/>
      </w:pPr>
      <w:r>
        <w:rPr>
          <w:rFonts w:hint="eastAsia"/>
          <w:sz w:val="32"/>
          <w:szCs w:val="32"/>
        </w:rPr>
        <w:t>一、主要职能、职责</w:t>
      </w:r>
    </w:p>
    <w:p>
      <w:pPr>
        <w:spacing w:before="6" w:after="120" w:line="228" w:lineRule="auto"/>
        <w:ind w:right="1670"/>
        <w:jc w:val="both"/>
      </w:pPr>
      <w:r>
        <w:rPr>
          <w:rFonts w:hint="eastAsia"/>
          <w:sz w:val="32"/>
          <w:szCs w:val="32"/>
        </w:rPr>
        <w:t>二、部门机构设置及决算单位构成情况</w:t>
      </w:r>
    </w:p>
    <w:p>
      <w:pPr>
        <w:spacing w:before="100" w:beforeAutospacing="1" w:after="100" w:afterAutospacing="1" w:line="360" w:lineRule="auto"/>
        <w:jc w:val="both"/>
      </w:pPr>
      <w:r>
        <w:rPr>
          <w:rFonts w:hint="eastAsia" w:ascii="黑体" w:hAnsi="黑体" w:eastAsia="黑体"/>
          <w:sz w:val="32"/>
          <w:szCs w:val="32"/>
        </w:rPr>
        <w:t>第二部分 2022年度部门决算情况说明</w:t>
      </w:r>
    </w:p>
    <w:p>
      <w:pPr>
        <w:spacing w:before="100" w:beforeAutospacing="1" w:after="100" w:afterAutospacing="1" w:line="360" w:lineRule="auto"/>
        <w:jc w:val="both"/>
      </w:pPr>
      <w:r>
        <w:rPr>
          <w:rFonts w:hint="eastAsia"/>
          <w:sz w:val="32"/>
          <w:szCs w:val="32"/>
        </w:rPr>
        <w:t>一、收入支出决算总体情况说明</w:t>
      </w:r>
    </w:p>
    <w:p>
      <w:pPr>
        <w:spacing w:before="100" w:beforeAutospacing="1" w:after="100" w:afterAutospacing="1" w:line="360" w:lineRule="auto"/>
        <w:jc w:val="both"/>
      </w:pPr>
      <w:r>
        <w:rPr>
          <w:rFonts w:hint="eastAsia"/>
          <w:sz w:val="32"/>
          <w:szCs w:val="32"/>
        </w:rPr>
        <w:t>二、收入决算情况说明</w:t>
      </w:r>
    </w:p>
    <w:p>
      <w:pPr>
        <w:spacing w:before="100" w:beforeAutospacing="1" w:after="100" w:afterAutospacing="1" w:line="360" w:lineRule="auto"/>
        <w:jc w:val="both"/>
      </w:pPr>
      <w:r>
        <w:rPr>
          <w:rFonts w:hint="eastAsia"/>
          <w:sz w:val="32"/>
          <w:szCs w:val="32"/>
        </w:rPr>
        <w:t>三、支出决算情况说明</w:t>
      </w:r>
    </w:p>
    <w:p>
      <w:pPr>
        <w:spacing w:before="100" w:beforeAutospacing="1" w:after="100" w:afterAutospacing="1" w:line="360" w:lineRule="auto"/>
        <w:jc w:val="both"/>
      </w:pPr>
      <w:r>
        <w:rPr>
          <w:rFonts w:hint="eastAsia"/>
          <w:sz w:val="32"/>
          <w:szCs w:val="32"/>
        </w:rPr>
        <w:t>四、财政拨款收入支出决算总体情况说明</w:t>
      </w:r>
    </w:p>
    <w:p>
      <w:pPr>
        <w:spacing w:before="100" w:beforeAutospacing="1" w:after="100" w:afterAutospacing="1" w:line="360" w:lineRule="auto"/>
        <w:jc w:val="both"/>
      </w:pPr>
      <w:r>
        <w:rPr>
          <w:rFonts w:hint="eastAsia"/>
          <w:sz w:val="32"/>
          <w:szCs w:val="32"/>
        </w:rPr>
        <w:t>五、一般公共预算支出决算情况说明</w:t>
      </w:r>
    </w:p>
    <w:p>
      <w:pPr>
        <w:spacing w:before="100" w:beforeAutospacing="1" w:after="100" w:afterAutospacing="1" w:line="360" w:lineRule="auto"/>
        <w:jc w:val="both"/>
      </w:pPr>
      <w:r>
        <w:rPr>
          <w:rFonts w:hint="eastAsia"/>
          <w:sz w:val="32"/>
          <w:szCs w:val="32"/>
        </w:rPr>
        <w:t>六、一般公共预算基本支出决算情况说明</w:t>
      </w:r>
    </w:p>
    <w:p>
      <w:pPr>
        <w:spacing w:before="100" w:beforeAutospacing="1" w:after="100" w:afterAutospacing="1" w:line="360" w:lineRule="auto"/>
        <w:jc w:val="both"/>
      </w:pPr>
      <w:r>
        <w:rPr>
          <w:rFonts w:hint="eastAsia"/>
          <w:sz w:val="32"/>
          <w:szCs w:val="32"/>
        </w:rPr>
        <w:t>七、一般公共预算项目支出决算情况说明</w:t>
      </w:r>
    </w:p>
    <w:p>
      <w:pPr>
        <w:spacing w:before="100" w:beforeAutospacing="1" w:after="100" w:afterAutospacing="1" w:line="360" w:lineRule="auto"/>
        <w:jc w:val="both"/>
      </w:pPr>
      <w:r>
        <w:rPr>
          <w:rFonts w:hint="eastAsia"/>
          <w:sz w:val="32"/>
          <w:szCs w:val="32"/>
        </w:rPr>
        <w:t>八、财政拨款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经费支出决算情况说明</w:t>
      </w:r>
    </w:p>
    <w:p>
      <w:pPr>
        <w:spacing w:before="100" w:beforeAutospacing="1" w:after="100" w:afterAutospacing="1" w:line="360" w:lineRule="auto"/>
        <w:jc w:val="both"/>
      </w:pPr>
      <w:r>
        <w:rPr>
          <w:rFonts w:hint="eastAsia"/>
          <w:sz w:val="32"/>
          <w:szCs w:val="32"/>
        </w:rPr>
        <w:t>九、政府性基金预算财政拨款支出决算情况说明</w:t>
      </w:r>
    </w:p>
    <w:p>
      <w:pPr>
        <w:spacing w:before="100" w:beforeAutospacing="1" w:after="100" w:afterAutospacing="1" w:line="360" w:lineRule="auto"/>
        <w:jc w:val="both"/>
      </w:pPr>
      <w:r>
        <w:rPr>
          <w:rFonts w:hint="eastAsia"/>
          <w:sz w:val="32"/>
          <w:szCs w:val="32"/>
        </w:rPr>
        <w:t>十、国有资本经营预算财政拨款支出决算情况说明</w:t>
      </w:r>
    </w:p>
    <w:p>
      <w:pPr>
        <w:spacing w:before="100" w:beforeAutospacing="1" w:after="100" w:afterAutospacing="1" w:line="360" w:lineRule="auto"/>
        <w:jc w:val="both"/>
      </w:pPr>
      <w:r>
        <w:rPr>
          <w:rFonts w:hint="eastAsia"/>
          <w:sz w:val="32"/>
          <w:szCs w:val="32"/>
        </w:rPr>
        <w:t>十一、项目支出决算情况说明</w:t>
      </w:r>
    </w:p>
    <w:p>
      <w:pPr>
        <w:spacing w:before="100" w:beforeAutospacing="1" w:after="100" w:afterAutospacing="1" w:line="360" w:lineRule="auto"/>
        <w:jc w:val="both"/>
      </w:pPr>
      <w:r>
        <w:rPr>
          <w:rFonts w:hint="eastAsia"/>
          <w:sz w:val="32"/>
          <w:szCs w:val="32"/>
        </w:rPr>
        <w:t>十二、机构运行经费支出决算情况说明</w:t>
      </w:r>
    </w:p>
    <w:p>
      <w:pPr>
        <w:spacing w:before="100" w:beforeAutospacing="1" w:after="100" w:afterAutospacing="1" w:line="360" w:lineRule="auto"/>
        <w:jc w:val="both"/>
      </w:pPr>
      <w:r>
        <w:rPr>
          <w:rFonts w:hint="eastAsia"/>
          <w:sz w:val="32"/>
          <w:szCs w:val="32"/>
        </w:rPr>
        <w:t>十三、政府采购支出决算情况说明</w:t>
      </w:r>
    </w:p>
    <w:p>
      <w:pPr>
        <w:spacing w:before="100" w:beforeAutospacing="1" w:after="100" w:afterAutospacing="1" w:line="360" w:lineRule="auto"/>
        <w:jc w:val="both"/>
      </w:pPr>
      <w:r>
        <w:rPr>
          <w:rFonts w:hint="eastAsia"/>
          <w:sz w:val="32"/>
          <w:szCs w:val="32"/>
        </w:rPr>
        <w:t>十四、国有资产占用情况说明</w:t>
      </w:r>
    </w:p>
    <w:p>
      <w:pPr>
        <w:spacing w:before="100" w:beforeAutospacing="1" w:after="100" w:afterAutospacing="1" w:line="360" w:lineRule="auto"/>
        <w:jc w:val="both"/>
      </w:pPr>
      <w:r>
        <w:rPr>
          <w:rFonts w:hint="eastAsia"/>
          <w:sz w:val="32"/>
          <w:szCs w:val="32"/>
        </w:rPr>
        <w:t>十五、预算绩效情况说明</w:t>
      </w:r>
    </w:p>
    <w:p>
      <w:pPr>
        <w:spacing w:before="100" w:beforeAutospacing="1" w:after="100" w:afterAutospacing="1" w:line="360" w:lineRule="auto"/>
        <w:jc w:val="both"/>
      </w:pPr>
      <w:r>
        <w:rPr>
          <w:rFonts w:hint="eastAsia" w:ascii="黑体" w:hAnsi="黑体" w:eastAsia="黑体"/>
          <w:sz w:val="32"/>
          <w:szCs w:val="32"/>
        </w:rPr>
        <w:t>第三部分 名词解释</w:t>
      </w:r>
    </w:p>
    <w:p>
      <w:pPr>
        <w:spacing w:before="100" w:beforeAutospacing="1" w:after="100" w:afterAutospacing="1" w:line="600" w:lineRule="atLeast"/>
        <w:jc w:val="both"/>
      </w:pPr>
      <w:r>
        <w:rPr>
          <w:rFonts w:hint="eastAsia" w:ascii="黑体" w:hAnsi="黑体" w:eastAsia="黑体"/>
          <w:sz w:val="32"/>
          <w:szCs w:val="32"/>
        </w:rPr>
        <w:t>第四部分 决算公开联系方式及信息反馈渠道</w:t>
      </w:r>
    </w:p>
    <w:p>
      <w:pPr>
        <w:spacing w:before="100" w:beforeAutospacing="1" w:after="100" w:afterAutospacing="1" w:line="360" w:lineRule="auto"/>
        <w:jc w:val="both"/>
      </w:pPr>
      <w:r>
        <w:rPr>
          <w:rFonts w:hint="eastAsia" w:ascii="黑体" w:hAnsi="黑体" w:eastAsia="黑体"/>
          <w:sz w:val="32"/>
          <w:szCs w:val="32"/>
        </w:rPr>
        <w:t>第五部分 2022年度部门决算表</w:t>
      </w:r>
    </w:p>
    <w:p>
      <w:pPr>
        <w:spacing w:before="100" w:beforeAutospacing="1" w:after="100" w:afterAutospacing="1" w:line="360" w:lineRule="auto"/>
        <w:jc w:val="both"/>
      </w:pPr>
      <w:r>
        <w:rPr>
          <w:rFonts w:hint="eastAsia"/>
          <w:sz w:val="32"/>
          <w:szCs w:val="32"/>
        </w:rPr>
        <w:t>一、收入支出决算总表</w:t>
      </w:r>
    </w:p>
    <w:p>
      <w:pPr>
        <w:spacing w:before="100" w:beforeAutospacing="1" w:after="100" w:afterAutospacing="1" w:line="360" w:lineRule="auto"/>
        <w:jc w:val="both"/>
      </w:pPr>
      <w:r>
        <w:rPr>
          <w:rFonts w:hint="eastAsia"/>
          <w:sz w:val="32"/>
          <w:szCs w:val="32"/>
        </w:rPr>
        <w:t>二、收入决算表</w:t>
      </w:r>
    </w:p>
    <w:p>
      <w:pPr>
        <w:spacing w:before="100" w:beforeAutospacing="1" w:after="100" w:afterAutospacing="1" w:line="360" w:lineRule="auto"/>
        <w:jc w:val="both"/>
      </w:pPr>
      <w:r>
        <w:rPr>
          <w:rFonts w:hint="eastAsia"/>
          <w:sz w:val="32"/>
          <w:szCs w:val="32"/>
        </w:rPr>
        <w:t>三、支出决算表</w:t>
      </w:r>
    </w:p>
    <w:p>
      <w:pPr>
        <w:spacing w:before="100" w:beforeAutospacing="1" w:after="100" w:afterAutospacing="1" w:line="360" w:lineRule="auto"/>
        <w:jc w:val="both"/>
      </w:pPr>
      <w:r>
        <w:rPr>
          <w:rFonts w:hint="eastAsia"/>
          <w:sz w:val="32"/>
          <w:szCs w:val="32"/>
        </w:rPr>
        <w:t>四、财政拨款收入支出决算总表</w:t>
      </w:r>
    </w:p>
    <w:p>
      <w:pPr>
        <w:spacing w:before="100" w:beforeAutospacing="1" w:after="100" w:afterAutospacing="1" w:line="360" w:lineRule="auto"/>
        <w:jc w:val="both"/>
      </w:pPr>
      <w:r>
        <w:rPr>
          <w:rFonts w:hint="eastAsia"/>
          <w:sz w:val="32"/>
          <w:szCs w:val="32"/>
        </w:rPr>
        <w:t>五、项目收入支出决算表</w:t>
      </w:r>
    </w:p>
    <w:p>
      <w:pPr>
        <w:spacing w:before="100" w:beforeAutospacing="1" w:after="100" w:afterAutospacing="1" w:line="360" w:lineRule="auto"/>
        <w:jc w:val="both"/>
      </w:pPr>
      <w:r>
        <w:rPr>
          <w:rFonts w:hint="eastAsia"/>
          <w:sz w:val="32"/>
          <w:szCs w:val="32"/>
        </w:rPr>
        <w:t>六、一般公共预算财政拨款支出决算表</w:t>
      </w:r>
    </w:p>
    <w:p>
      <w:pPr>
        <w:spacing w:before="100" w:beforeAutospacing="1" w:after="100" w:afterAutospacing="1" w:line="360" w:lineRule="auto"/>
        <w:jc w:val="both"/>
      </w:pPr>
      <w:r>
        <w:rPr>
          <w:rFonts w:hint="eastAsia"/>
          <w:sz w:val="32"/>
          <w:szCs w:val="32"/>
        </w:rPr>
        <w:t>七、一般公共预算财政拨款基本支出决算明细表</w:t>
      </w:r>
    </w:p>
    <w:p>
      <w:pPr>
        <w:spacing w:before="100" w:beforeAutospacing="1" w:after="100" w:afterAutospacing="1" w:line="360" w:lineRule="auto"/>
        <w:jc w:val="both"/>
      </w:pPr>
      <w:r>
        <w:rPr>
          <w:rFonts w:hint="eastAsia"/>
          <w:color w:val="000000"/>
          <w:sz w:val="32"/>
          <w:szCs w:val="32"/>
        </w:rPr>
        <w:t>八、一般公共预算财政拨款项目支出决算明细表</w:t>
      </w:r>
    </w:p>
    <w:p>
      <w:pPr>
        <w:spacing w:before="100" w:beforeAutospacing="1" w:after="100" w:afterAutospacing="1" w:line="360" w:lineRule="auto"/>
        <w:jc w:val="both"/>
      </w:pPr>
      <w:r>
        <w:rPr>
          <w:rFonts w:hint="eastAsia"/>
          <w:color w:val="000000"/>
          <w:sz w:val="32"/>
          <w:szCs w:val="32"/>
        </w:rPr>
        <w:t>九、政府性基金预算财政拨款收入支出决算表</w:t>
      </w:r>
    </w:p>
    <w:p>
      <w:pPr>
        <w:spacing w:before="100" w:beforeAutospacing="1" w:after="100" w:afterAutospacing="1" w:line="360" w:lineRule="auto"/>
        <w:jc w:val="both"/>
      </w:pPr>
      <w:r>
        <w:rPr>
          <w:rFonts w:hint="eastAsia"/>
          <w:color w:val="000000"/>
          <w:sz w:val="32"/>
          <w:szCs w:val="32"/>
        </w:rPr>
        <w:t>十、国有资本经营预算财政拨款支出决算表</w:t>
      </w:r>
    </w:p>
    <w:p>
      <w:pPr>
        <w:spacing w:before="100" w:beforeAutospacing="1" w:after="100" w:afterAutospacing="1" w:line="360" w:lineRule="auto"/>
        <w:jc w:val="both"/>
      </w:pPr>
      <w:r>
        <w:rPr>
          <w:rFonts w:hint="eastAsia"/>
          <w:color w:val="000000"/>
          <w:sz w:val="32"/>
          <w:szCs w:val="32"/>
        </w:rPr>
        <w:t>十一、财政拨款</w:t>
      </w:r>
      <w:r>
        <w:rPr>
          <w:rFonts w:ascii="Times New Roman" w:hAnsi="Times New Roman" w:cs="Times New Roman"/>
          <w:color w:val="000000"/>
          <w:sz w:val="32"/>
          <w:szCs w:val="32"/>
        </w:rPr>
        <w:t>“</w:t>
      </w:r>
      <w:r>
        <w:rPr>
          <w:rFonts w:hint="eastAsia"/>
          <w:color w:val="000000"/>
          <w:sz w:val="32"/>
          <w:szCs w:val="32"/>
        </w:rPr>
        <w:t>三公</w:t>
      </w:r>
      <w:r>
        <w:rPr>
          <w:rFonts w:ascii="Times New Roman" w:hAnsi="Times New Roman" w:cs="Times New Roman"/>
          <w:color w:val="000000"/>
          <w:sz w:val="32"/>
          <w:szCs w:val="32"/>
        </w:rPr>
        <w:t>”</w:t>
      </w:r>
      <w:r>
        <w:rPr>
          <w:rFonts w:hint="eastAsia"/>
          <w:color w:val="000000"/>
          <w:sz w:val="32"/>
          <w:szCs w:val="32"/>
        </w:rPr>
        <w:t>经费支出决算表</w:t>
      </w:r>
    </w:p>
    <w:p>
      <w:pPr>
        <w:spacing w:before="100" w:beforeAutospacing="1" w:after="100" w:afterAutospacing="1" w:line="360" w:lineRule="auto"/>
        <w:jc w:val="both"/>
      </w:pPr>
      <w:r>
        <w:rPr>
          <w:rFonts w:hint="eastAsia"/>
          <w:color w:val="000000"/>
          <w:sz w:val="32"/>
          <w:szCs w:val="32"/>
        </w:rPr>
        <w:t>十二、机构运行经费支出、国有资产占用情况及政府采购支出信息表</w:t>
      </w:r>
    </w:p>
    <w:p>
      <w:pPr>
        <w:pStyle w:val="3"/>
        <w:keepNext/>
        <w:spacing w:line="600" w:lineRule="atLeast"/>
        <w:jc w:val="center"/>
      </w:pPr>
      <w:r>
        <w:rPr>
          <w:rFonts w:hint="eastAsia" w:ascii="方正小标宋简体" w:eastAsia="方正小标宋简体"/>
        </w:rPr>
        <w:t>第一部分  部门概况</w:t>
      </w:r>
    </w:p>
    <w:p>
      <w:pPr>
        <w:spacing w:before="100" w:beforeAutospacing="1" w:after="100" w:afterAutospacing="1" w:line="600" w:lineRule="atLeast"/>
        <w:ind w:left="424" w:firstLine="212"/>
        <w:jc w:val="both"/>
      </w:pPr>
      <w:r>
        <w:rPr>
          <w:rFonts w:hint="eastAsia" w:ascii="黑体" w:hAnsi="黑体" w:eastAsia="黑体"/>
          <w:b/>
          <w:bCs/>
          <w:sz w:val="32"/>
          <w:szCs w:val="32"/>
        </w:rPr>
        <w:t>一、主要职能、职责</w:t>
      </w:r>
    </w:p>
    <w:p>
      <w:pPr>
        <w:snapToGrid w:val="0"/>
        <w:spacing w:before="100" w:beforeAutospacing="1" w:after="100" w:afterAutospacing="1" w:line="600" w:lineRule="atLeast"/>
        <w:ind w:firstLine="640"/>
        <w:jc w:val="both"/>
      </w:pPr>
      <w:r>
        <w:rPr>
          <w:rFonts w:hint="eastAsia"/>
          <w:sz w:val="32"/>
          <w:szCs w:val="32"/>
        </w:rPr>
        <w:t>呼伦贝尔职业技术学院为地方性高等职业学校，教育行政业务由自治区教育厅管理。学院以专科层次高等职业教育为主，为当地培养所需各类专门人才的综合性高等职业学校。</w:t>
      </w:r>
    </w:p>
    <w:p>
      <w:pPr>
        <w:spacing w:before="100" w:beforeAutospacing="1" w:after="100" w:afterAutospacing="1" w:line="600" w:lineRule="atLeast"/>
        <w:ind w:left="424" w:firstLine="212"/>
        <w:jc w:val="both"/>
      </w:pPr>
      <w:r>
        <w:rPr>
          <w:rFonts w:hint="eastAsia" w:ascii="黑体" w:hAnsi="黑体" w:eastAsia="黑体"/>
          <w:b/>
          <w:bCs/>
          <w:sz w:val="32"/>
          <w:szCs w:val="32"/>
        </w:rPr>
        <w:t>二、部门机构设置及决算单位构成情况</w:t>
      </w:r>
    </w:p>
    <w:p>
      <w:pPr>
        <w:spacing w:before="100" w:beforeAutospacing="1" w:after="100" w:afterAutospacing="1" w:line="360" w:lineRule="auto"/>
        <w:ind w:firstLine="640"/>
        <w:jc w:val="both"/>
      </w:pPr>
      <w:r>
        <w:rPr>
          <w:rFonts w:ascii="Times New Roman" w:hAnsi="Times New Roman" w:cs="Times New Roman"/>
          <w:sz w:val="32"/>
          <w:szCs w:val="32"/>
        </w:rPr>
        <w:t>1.</w:t>
      </w:r>
      <w:r>
        <w:rPr>
          <w:rFonts w:hint="eastAsia" w:ascii="仿宋_GB2312" w:hAnsi="Times New Roman"/>
          <w:sz w:val="32"/>
          <w:szCs w:val="32"/>
        </w:rPr>
        <w:t xml:space="preserve"> 根据部门（单位）职责分工，本部门（单位）内设机构包括</w:t>
      </w:r>
      <w:r>
        <w:rPr>
          <w:rFonts w:hint="eastAsia" w:ascii="仿宋_GB2312" w:hAnsi="仿宋_GB2312"/>
          <w:sz w:val="32"/>
          <w:szCs w:val="32"/>
        </w:rPr>
        <w:t>教学部门、教辅部门、党政部门。本部门（单位）无下属单位。</w:t>
      </w:r>
    </w:p>
    <w:p>
      <w:pPr>
        <w:spacing w:before="100" w:beforeAutospacing="1" w:after="100" w:afterAutospacing="1" w:line="360" w:lineRule="auto"/>
        <w:ind w:firstLine="640"/>
        <w:jc w:val="both"/>
      </w:pPr>
      <w:r>
        <w:rPr>
          <w:rFonts w:ascii="Times New Roman" w:hAnsi="Times New Roman" w:cs="Times New Roman"/>
          <w:sz w:val="32"/>
          <w:szCs w:val="32"/>
        </w:rPr>
        <w:t>2.</w:t>
      </w:r>
      <w:r>
        <w:rPr>
          <w:rFonts w:hint="eastAsia"/>
          <w:sz w:val="32"/>
          <w:szCs w:val="32"/>
        </w:rPr>
        <w:t>从决算单位构成看，纳入本部门2022年部门汇总决算编制范围的预算单位共计1家，具体包括：呼伦贝尔职业技术学院。详细情况见表：</w:t>
      </w:r>
    </w:p>
    <w:tbl>
      <w:tblPr>
        <w:tblStyle w:val="7"/>
        <w:tblW w:w="8522" w:type="dxa"/>
        <w:tblInd w:w="0" w:type="dxa"/>
        <w:tblLayout w:type="fixed"/>
        <w:tblCellMar>
          <w:top w:w="0" w:type="dxa"/>
          <w:left w:w="0" w:type="dxa"/>
          <w:bottom w:w="0" w:type="dxa"/>
          <w:right w:w="0" w:type="dxa"/>
        </w:tblCellMar>
      </w:tblPr>
      <w:tblGrid>
        <w:gridCol w:w="662"/>
        <w:gridCol w:w="3260"/>
        <w:gridCol w:w="4600"/>
      </w:tblGrid>
      <w:tr>
        <w:tc>
          <w:tcPr>
            <w:tcW w:w="66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color w:val="000000"/>
                <w:sz w:val="31"/>
                <w:szCs w:val="31"/>
              </w:rPr>
              <w:t>序号</w:t>
            </w:r>
          </w:p>
        </w:tc>
        <w:tc>
          <w:tcPr>
            <w:tcW w:w="32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color w:val="000000"/>
                <w:sz w:val="31"/>
                <w:szCs w:val="31"/>
              </w:rPr>
              <w:t>单位名称</w:t>
            </w:r>
          </w:p>
        </w:tc>
        <w:tc>
          <w:tcPr>
            <w:tcW w:w="460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color w:val="000000"/>
                <w:sz w:val="31"/>
                <w:szCs w:val="31"/>
              </w:rPr>
              <w:t>单位性质</w:t>
            </w:r>
          </w:p>
        </w:tc>
      </w:tr>
      <w:tr>
        <w:tblPrEx>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ascii="Times New Roman" w:hAnsi="Times New Roman" w:cs="Times New Roman"/>
                <w:color w:val="000000"/>
                <w:sz w:val="31"/>
                <w:szCs w:val="31"/>
              </w:rPr>
              <w:t>1</w:t>
            </w:r>
          </w:p>
        </w:tc>
        <w:tc>
          <w:tcPr>
            <w:tcW w:w="3260"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color w:val="000000"/>
                <w:sz w:val="31"/>
                <w:szCs w:val="31"/>
              </w:rPr>
              <w:t>呼伦贝尔职业技术学院</w:t>
            </w:r>
          </w:p>
        </w:tc>
        <w:tc>
          <w:tcPr>
            <w:tcW w:w="4600"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color w:val="000000"/>
                <w:sz w:val="31"/>
                <w:szCs w:val="31"/>
              </w:rPr>
              <w:t>公益二类事业单位</w:t>
            </w:r>
          </w:p>
        </w:tc>
      </w:tr>
      <w:tr>
        <w:tblPrEx>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3260"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4600"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r>
      <w:tr>
        <w:tblPrEx>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3260"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4600"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r>
      <w:tr>
        <w:tblPrEx>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3260"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4600"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r>
    </w:tbl>
    <w:p>
      <w:pPr>
        <w:spacing w:before="100" w:beforeAutospacing="1" w:after="100" w:afterAutospacing="1" w:line="600" w:lineRule="atLeast"/>
        <w:ind w:firstLine="643"/>
        <w:jc w:val="both"/>
      </w:pPr>
      <w:r>
        <w:rPr>
          <w:rFonts w:hint="eastAsia" w:ascii="黑体" w:hAnsi="黑体" w:eastAsia="黑体"/>
          <w:b/>
          <w:bCs/>
          <w:sz w:val="32"/>
          <w:szCs w:val="32"/>
        </w:rPr>
        <w:t>三、</w:t>
      </w:r>
      <w:r>
        <w:rPr>
          <w:rFonts w:hint="eastAsia"/>
          <w:b/>
          <w:bCs/>
          <w:sz w:val="32"/>
          <w:szCs w:val="32"/>
        </w:rPr>
        <w:t>2022</w:t>
      </w:r>
      <w:r>
        <w:rPr>
          <w:rFonts w:hint="eastAsia" w:ascii="黑体" w:hAnsi="黑体" w:eastAsia="黑体"/>
          <w:b/>
          <w:bCs/>
          <w:sz w:val="32"/>
          <w:szCs w:val="32"/>
        </w:rPr>
        <w:t>年度部门主要工作完成情况</w:t>
      </w:r>
    </w:p>
    <w:p>
      <w:pPr>
        <w:snapToGrid w:val="0"/>
        <w:spacing w:line="560" w:lineRule="atLeast"/>
        <w:ind w:firstLine="420"/>
        <w:rPr>
          <w:b/>
          <w:bCs/>
          <w:sz w:val="32"/>
          <w:szCs w:val="32"/>
        </w:rPr>
      </w:pPr>
      <w:r>
        <w:rPr>
          <w:sz w:val="32"/>
          <w:szCs w:val="32"/>
        </w:rPr>
        <w:t> </w:t>
      </w:r>
      <w:r>
        <w:rPr>
          <w:rFonts w:hint="eastAsia"/>
          <w:sz w:val="32"/>
          <w:szCs w:val="32"/>
        </w:rPr>
        <w:t>2022年，呼伦贝尔职业技术学院坚持以习近平新时代中国特色社会主义思想为指导，紧紧围绕学习宣传贯彻党的二十大工作主线，深入学习贯彻《中华人民共和国职业教育法》，切实把全国、全区教育工作会议精神融入学院各项工作全过程、各环节，全面落实全区职业教育大会要求，聚焦高质量发展，践行新发展理念，紧抓快干，聚力攻坚，学院各项工作实现了稳中有进。</w:t>
      </w:r>
    </w:p>
    <w:p>
      <w:pPr>
        <w:snapToGrid w:val="0"/>
        <w:spacing w:line="560" w:lineRule="atLeast"/>
        <w:ind w:firstLine="420"/>
        <w:rPr>
          <w:sz w:val="32"/>
          <w:szCs w:val="32"/>
        </w:rPr>
      </w:pPr>
      <w:r>
        <w:rPr>
          <w:rFonts w:hint="eastAsia"/>
          <w:b/>
          <w:bCs/>
          <w:sz w:val="32"/>
          <w:szCs w:val="32"/>
        </w:rPr>
        <w:t>一是党建领航能力稳步提升。</w:t>
      </w:r>
      <w:r>
        <w:rPr>
          <w:rFonts w:hint="eastAsia"/>
          <w:sz w:val="32"/>
          <w:szCs w:val="32"/>
        </w:rPr>
        <w:t>学院党委谋划并启动了“党旗领航、技耀北疆”党建品牌建设，组织开展“党课下基层”宣讲活动23场，各基层党组织围绕学习宣传党的二十大精神开展各种形式的专题学习活动260余次，进一步增强了全体党员忠诚拥护“两个确立”、坚决做到“两个维护”的思想自觉、政治自觉和行动自觉。为基层党组织印发了《党的组织生活制度规范》和《党支部标准化工作手册》，基层党建工作短板弱项进一步补齐；“部署-调度-督查-考核”的意识形态工作闭环已全面形成，校园意识形态安全屏障进一步加固，党对学院的全面领导更加坚实有力。</w:t>
      </w:r>
    </w:p>
    <w:p>
      <w:pPr>
        <w:snapToGrid w:val="0"/>
        <w:spacing w:line="560" w:lineRule="atLeast"/>
        <w:ind w:firstLine="420"/>
        <w:rPr>
          <w:sz w:val="32"/>
          <w:szCs w:val="32"/>
        </w:rPr>
      </w:pPr>
      <w:r>
        <w:rPr>
          <w:rFonts w:hint="eastAsia"/>
          <w:b/>
          <w:bCs/>
          <w:sz w:val="32"/>
          <w:szCs w:val="32"/>
        </w:rPr>
        <w:t>二是“三全育人”改革纵深推进。</w:t>
      </w:r>
      <w:r>
        <w:rPr>
          <w:rFonts w:hint="eastAsia"/>
          <w:sz w:val="32"/>
          <w:szCs w:val="32"/>
        </w:rPr>
        <w:t>以“六项铸魂工程”为抓手，深入实施了“石榴籽”育人工程，开展了“牢记嘱托 筑梦北疆”等主题活动，全方位强化了学生思想引领，大幅度增强了基层党团组织育人功能，多举措推进了思政课程和课程思政同频共振，多形式开展了校园文化活动，多维度丰富了“第二课堂”实践育人载体，不间断提供了学生心理健康咨询和指导服务，全流程健全了困难学生资助机制，高质量选树了35个育人典型案例，成功举办了首届“三全育人”综合改革典型案例交流展示会，1名青年讲师荣获全区理论宣讲大赛第二名，“三全育人”典型学校建设取得实质性进展。</w:t>
      </w:r>
    </w:p>
    <w:p>
      <w:pPr>
        <w:snapToGrid w:val="0"/>
        <w:spacing w:line="560" w:lineRule="atLeast"/>
        <w:ind w:firstLine="420"/>
        <w:rPr>
          <w:sz w:val="32"/>
          <w:szCs w:val="32"/>
        </w:rPr>
      </w:pPr>
      <w:r>
        <w:rPr>
          <w:rFonts w:hint="eastAsia"/>
          <w:b/>
          <w:bCs/>
          <w:sz w:val="32"/>
          <w:szCs w:val="32"/>
        </w:rPr>
        <w:t>三是人才培养适应性不断增强。</w:t>
      </w:r>
      <w:r>
        <w:rPr>
          <w:rFonts w:hint="eastAsia"/>
          <w:sz w:val="32"/>
          <w:szCs w:val="32"/>
        </w:rPr>
        <w:t>紧扣自治区和呼伦贝尔市重点产业链，研究制定了《专业调整台账》，与农垦集团合作开设了3个服务农牧业增质增量发展的订单培养专业，基本建成护理1个自治区级高水平专业群，机电、化工、中蒙医药、文旅4个院级高水平专业群，机电一体化技术专业和康复治疗技术专业获批自治区首批特色专业，专业与产业匹配度以及专业建设质量均得到了整体提升。学生在全国职业技能大赛上首次获奖，535名学生顺利通过1+X证书考试，2022届毕业生毕业去向落实率达95.44%，就业数量和质量均有所提高。</w:t>
      </w:r>
    </w:p>
    <w:p>
      <w:pPr>
        <w:snapToGrid w:val="0"/>
        <w:spacing w:line="560" w:lineRule="atLeast"/>
        <w:ind w:firstLine="420"/>
        <w:rPr>
          <w:sz w:val="32"/>
          <w:szCs w:val="32"/>
        </w:rPr>
      </w:pPr>
      <w:r>
        <w:rPr>
          <w:rFonts w:hint="eastAsia"/>
          <w:b/>
          <w:bCs/>
          <w:sz w:val="32"/>
          <w:szCs w:val="32"/>
        </w:rPr>
        <w:t>四是学生管理服务全面提质。</w:t>
      </w:r>
      <w:r>
        <w:rPr>
          <w:rFonts w:hint="eastAsia"/>
          <w:sz w:val="32"/>
          <w:szCs w:val="32"/>
        </w:rPr>
        <w:t>引育并举提升了专职辅导员业务能力和水平，常态化开展了禁毒、反诈、防溺水、交通法规等安全教育，密切了家校沟通，汇聚了育人合力。成立“接诉即办”工作组及时解决了学生“吃、住、学、用、医”各方面诉求，完善了“一对一”包联机制，帮助特殊困难学生更好地适应了校园学习和生活。学院成功获批教育部“一站式”学生社区建设试点高校，入选自治区首批大中小学劳动教育实验校，并先后获得全国、全区“优秀易班共建高校”和全区“优秀易班工作站”等荣誉。</w:t>
      </w:r>
    </w:p>
    <w:p>
      <w:pPr>
        <w:snapToGrid w:val="0"/>
        <w:spacing w:line="560" w:lineRule="atLeast"/>
        <w:ind w:firstLine="420"/>
        <w:rPr>
          <w:sz w:val="32"/>
          <w:szCs w:val="32"/>
        </w:rPr>
      </w:pPr>
      <w:r>
        <w:rPr>
          <w:rFonts w:hint="eastAsia"/>
          <w:b/>
          <w:bCs/>
          <w:sz w:val="32"/>
          <w:szCs w:val="32"/>
        </w:rPr>
        <w:t>五是教师队伍建设不断加强。</w:t>
      </w:r>
      <w:r>
        <w:rPr>
          <w:rFonts w:hint="eastAsia"/>
          <w:sz w:val="32"/>
          <w:szCs w:val="32"/>
        </w:rPr>
        <w:t>开展了师德师风建设“回头看”，健全了师德师风建设长效机制。规范引进高素质人才30人，教师学历结构、年龄结构、专业结构进一步改善，两批次128名专业教师完成了企业实践，教师参加各级各类赛事获得自治区级奖项13个，市级奖项9个。教师科研能力稳步提升，在国内外核心期刊发表论文10篇，获得发明专利1项，实用新型专利12项。优质高效完成副高级职称转系列、高校系列职称自主评审工作，教师职称结构进一步优化。</w:t>
      </w:r>
    </w:p>
    <w:p>
      <w:pPr>
        <w:snapToGrid w:val="0"/>
        <w:spacing w:line="560" w:lineRule="atLeast"/>
        <w:ind w:firstLine="420"/>
        <w:rPr>
          <w:sz w:val="32"/>
          <w:szCs w:val="32"/>
        </w:rPr>
      </w:pPr>
      <w:r>
        <w:rPr>
          <w:rFonts w:hint="eastAsia"/>
          <w:b/>
          <w:bCs/>
          <w:sz w:val="32"/>
          <w:szCs w:val="32"/>
        </w:rPr>
        <w:t>六是社会培训工作多点开花。</w:t>
      </w:r>
      <w:r>
        <w:rPr>
          <w:rFonts w:hint="eastAsia"/>
          <w:sz w:val="32"/>
          <w:szCs w:val="32"/>
        </w:rPr>
        <w:t>面向全市举办企业职工培训班、职业技能等级认定培训班等职业技能类培训以及成人学历教育班次20期，累计培训4942人次；同时，将插花艺术、智能设备应用与反诈骗等公益讲座送入社区，将老年人简易急救和日常护理、老年人膳食营养等课程纳入市老年大学课程，并新增中式烹调师等41个职业技能等级认定工种，成为全市首家具备独立认定高级汽车维修工技师的职业院校。</w:t>
      </w:r>
    </w:p>
    <w:p>
      <w:pPr>
        <w:snapToGrid w:val="0"/>
        <w:spacing w:line="560" w:lineRule="atLeast"/>
        <w:ind w:firstLine="420"/>
        <w:rPr>
          <w:sz w:val="32"/>
          <w:szCs w:val="32"/>
        </w:rPr>
      </w:pPr>
      <w:r>
        <w:rPr>
          <w:rFonts w:hint="eastAsia"/>
          <w:b/>
          <w:bCs/>
          <w:sz w:val="32"/>
          <w:szCs w:val="32"/>
        </w:rPr>
        <w:t>七是校园安全防线持续加固。</w:t>
      </w:r>
      <w:r>
        <w:rPr>
          <w:rFonts w:hint="eastAsia"/>
          <w:sz w:val="32"/>
          <w:szCs w:val="32"/>
        </w:rPr>
        <w:t>构建了书记院长牵头抓总、分管领导靠前指挥、校安处统筹协调、所有部门分兵作战的校园安全管理工作格局，先后开展6轮隐患排查，完成160余项问题整改，做到了安全工作常抓常管和防患未然。学院食堂达到了A级标准，实现了食品卫生规范化管理。建筑工程验收和消防验收取得实质进展，守住了不发生重大校园安全事故的底线。常态化疫情防控和应急处置机制持续完善，切实守护了师生的平安健康。</w:t>
      </w:r>
    </w:p>
    <w:p>
      <w:pPr>
        <w:snapToGrid w:val="0"/>
        <w:spacing w:line="560" w:lineRule="atLeast"/>
        <w:ind w:firstLine="420"/>
        <w:rPr>
          <w:sz w:val="32"/>
          <w:szCs w:val="32"/>
        </w:rPr>
      </w:pPr>
    </w:p>
    <w:p>
      <w:pPr>
        <w:snapToGrid w:val="0"/>
        <w:spacing w:line="560" w:lineRule="atLeast"/>
        <w:ind w:firstLine="420"/>
        <w:rPr>
          <w:rFonts w:ascii="方正小标宋简体" w:eastAsia="方正小标宋简体"/>
          <w:b/>
          <w:bCs/>
          <w:sz w:val="36"/>
          <w:szCs w:val="36"/>
        </w:rPr>
      </w:pPr>
      <w:r>
        <w:rPr>
          <w:rFonts w:hint="eastAsia" w:ascii="方正小标宋简体" w:eastAsia="方正小标宋简体"/>
          <w:b/>
          <w:bCs/>
          <w:sz w:val="36"/>
          <w:szCs w:val="36"/>
        </w:rPr>
        <w:t>第二部分  2022年度部门决算情况说明</w:t>
      </w:r>
    </w:p>
    <w:p>
      <w:pPr>
        <w:spacing w:before="100" w:beforeAutospacing="1" w:after="100" w:afterAutospacing="1" w:line="600" w:lineRule="atLeast"/>
        <w:ind w:firstLine="643"/>
        <w:jc w:val="both"/>
      </w:pPr>
      <w:r>
        <w:rPr>
          <w:rFonts w:hint="eastAsia" w:ascii="黑体" w:hAnsi="黑体" w:eastAsia="黑体"/>
          <w:b/>
          <w:bCs/>
          <w:sz w:val="32"/>
          <w:szCs w:val="32"/>
        </w:rPr>
        <w:t>一、收入支出决算总体情况说明</w:t>
      </w:r>
    </w:p>
    <w:p>
      <w:pPr>
        <w:spacing w:before="100" w:beforeAutospacing="1" w:after="100" w:afterAutospacing="1" w:line="560" w:lineRule="atLeast"/>
        <w:ind w:firstLine="640"/>
        <w:jc w:val="both"/>
      </w:pPr>
      <w:r>
        <w:rPr>
          <w:rFonts w:hint="eastAsia"/>
          <w:sz w:val="32"/>
          <w:szCs w:val="32"/>
        </w:rPr>
        <w:t>呼伦贝尔职业技术学院部门2022年度收入、支出决算总计</w:t>
      </w:r>
      <w:r>
        <w:rPr>
          <w:rFonts w:ascii="Times New Roman" w:hAnsi="Times New Roman" w:cs="Times New Roman"/>
          <w:sz w:val="32"/>
          <w:szCs w:val="32"/>
        </w:rPr>
        <w:t>27,858.27</w:t>
      </w:r>
      <w:r>
        <w:rPr>
          <w:rFonts w:hint="eastAsia"/>
          <w:sz w:val="32"/>
          <w:szCs w:val="32"/>
        </w:rPr>
        <w:t>万元。与年初预算相比，收、支总计各增加</w:t>
      </w:r>
      <w:r>
        <w:rPr>
          <w:rFonts w:ascii="Times New Roman" w:hAnsi="Times New Roman" w:cs="Times New Roman"/>
          <w:sz w:val="32"/>
          <w:szCs w:val="32"/>
        </w:rPr>
        <w:t>9,441.05</w:t>
      </w:r>
      <w:r>
        <w:rPr>
          <w:rFonts w:hint="eastAsia"/>
          <w:sz w:val="32"/>
          <w:szCs w:val="32"/>
        </w:rPr>
        <w:t>万元，增长</w:t>
      </w:r>
      <w:r>
        <w:rPr>
          <w:rFonts w:ascii="Times New Roman" w:hAnsi="Times New Roman" w:cs="Times New Roman"/>
          <w:sz w:val="32"/>
          <w:szCs w:val="32"/>
        </w:rPr>
        <w:t>51.26</w:t>
      </w:r>
      <w:r>
        <w:rPr>
          <w:rFonts w:hint="eastAsia"/>
          <w:sz w:val="32"/>
          <w:szCs w:val="32"/>
        </w:rPr>
        <w:t>%，变动原因：2022年下达并使用专项债券资金5000万元用于南区教学实训楼项目，2022年学院其他收入1016.37万元，导致收入增长较快；与上年决算相比，收、支总计各增加</w:t>
      </w:r>
      <w:r>
        <w:rPr>
          <w:rFonts w:ascii="Times New Roman" w:hAnsi="Times New Roman" w:cs="Times New Roman"/>
          <w:sz w:val="32"/>
          <w:szCs w:val="32"/>
        </w:rPr>
        <w:t>4,790.73</w:t>
      </w:r>
      <w:r>
        <w:rPr>
          <w:rFonts w:hint="eastAsia"/>
          <w:sz w:val="32"/>
          <w:szCs w:val="32"/>
        </w:rPr>
        <w:t>万元，增长</w:t>
      </w:r>
      <w:r>
        <w:rPr>
          <w:rFonts w:hint="eastAsia" w:ascii="Times New Roman" w:hAnsi="Times New Roman" w:cs="Times New Roman"/>
          <w:sz w:val="32"/>
          <w:szCs w:val="32"/>
        </w:rPr>
        <w:t>20.77</w:t>
      </w:r>
      <w:r>
        <w:rPr>
          <w:rFonts w:hint="eastAsia"/>
          <w:sz w:val="32"/>
          <w:szCs w:val="32"/>
        </w:rPr>
        <w:t>%。其中：</w:t>
      </w:r>
    </w:p>
    <w:p>
      <w:pPr>
        <w:spacing w:before="100" w:beforeAutospacing="1" w:after="100" w:afterAutospacing="1" w:line="560" w:lineRule="atLeast"/>
        <w:ind w:firstLine="643"/>
        <w:jc w:val="both"/>
      </w:pPr>
      <w:r>
        <w:rPr>
          <w:rFonts w:hint="eastAsia" w:ascii="楷体" w:hAnsi="楷体" w:eastAsia="楷体"/>
          <w:b/>
          <w:bCs/>
          <w:sz w:val="32"/>
          <w:szCs w:val="32"/>
        </w:rPr>
        <w:t>（一）收入决算总计</w:t>
      </w:r>
      <w:r>
        <w:rPr>
          <w:rFonts w:ascii="Times New Roman" w:hAnsi="Times New Roman" w:cs="Times New Roman"/>
          <w:sz w:val="32"/>
          <w:szCs w:val="32"/>
        </w:rPr>
        <w:t>27,858.27</w:t>
      </w:r>
      <w:r>
        <w:rPr>
          <w:rFonts w:hint="eastAsia" w:ascii="楷体" w:hAnsi="楷体" w:eastAsia="楷体"/>
          <w:b/>
          <w:bCs/>
          <w:sz w:val="32"/>
          <w:szCs w:val="32"/>
        </w:rPr>
        <w:t>万元。包括：</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本年收入决算合计</w:t>
      </w:r>
      <w:r>
        <w:rPr>
          <w:rFonts w:ascii="Times New Roman" w:hAnsi="Times New Roman" w:cs="Times New Roman"/>
          <w:sz w:val="32"/>
          <w:szCs w:val="32"/>
        </w:rPr>
        <w:t>23,851.62</w:t>
      </w:r>
      <w:r>
        <w:rPr>
          <w:rFonts w:hint="eastAsia"/>
          <w:sz w:val="32"/>
          <w:szCs w:val="32"/>
        </w:rPr>
        <w:t>万元。与上年决算相比，增加</w:t>
      </w:r>
      <w:r>
        <w:rPr>
          <w:rFonts w:ascii="Times New Roman" w:hAnsi="Times New Roman" w:cs="Times New Roman"/>
          <w:sz w:val="32"/>
          <w:szCs w:val="32"/>
        </w:rPr>
        <w:t>4,359.15</w:t>
      </w:r>
      <w:r>
        <w:rPr>
          <w:rFonts w:hint="eastAsia"/>
          <w:sz w:val="32"/>
          <w:szCs w:val="32"/>
        </w:rPr>
        <w:t>万元，增长</w:t>
      </w:r>
      <w:r>
        <w:rPr>
          <w:rFonts w:hint="eastAsia" w:ascii="Times New Roman" w:hAnsi="Times New Roman" w:cs="Times New Roman"/>
          <w:sz w:val="32"/>
          <w:szCs w:val="32"/>
        </w:rPr>
        <w:t>22.36</w:t>
      </w:r>
      <w:r>
        <w:rPr>
          <w:rFonts w:hint="eastAsia"/>
          <w:sz w:val="32"/>
          <w:szCs w:val="32"/>
        </w:rPr>
        <w:t>%，变动原因：2022年下达南区教学实训楼项目专项债券资金5000万元，导致收入有所增加。</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使用非财政拨款结余</w:t>
      </w:r>
      <w:r>
        <w:rPr>
          <w:rFonts w:hint="eastAsia" w:ascii="Times New Roman" w:hAnsi="Times New Roman" w:cs="Times New Roman"/>
          <w:sz w:val="32"/>
          <w:szCs w:val="32"/>
        </w:rPr>
        <w:t>0</w:t>
      </w:r>
      <w:r>
        <w:rPr>
          <w:rFonts w:hint="eastAsia"/>
          <w:sz w:val="32"/>
          <w:szCs w:val="32"/>
        </w:rPr>
        <w:t>万元。与上年决算相比，增加</w:t>
      </w:r>
      <w:r>
        <w:rPr>
          <w:rFonts w:hint="eastAsia" w:ascii="Times New Roman" w:hAnsi="Times New Roman" w:cs="Times New Roman"/>
          <w:sz w:val="32"/>
          <w:szCs w:val="32"/>
        </w:rPr>
        <w:t>0</w:t>
      </w:r>
      <w:r>
        <w:rPr>
          <w:rFonts w:hint="eastAsia"/>
          <w:sz w:val="32"/>
          <w:szCs w:val="32"/>
        </w:rPr>
        <w:t>万元，增长</w:t>
      </w:r>
      <w:r>
        <w:rPr>
          <w:rFonts w:hint="eastAsia" w:ascii="Times New Roman" w:hAnsi="Times New Roman" w:cs="Times New Roman"/>
          <w:sz w:val="32"/>
          <w:szCs w:val="32"/>
        </w:rPr>
        <w:t>0</w:t>
      </w:r>
      <w:r>
        <w:rPr>
          <w:rFonts w:hint="eastAsia"/>
          <w:sz w:val="32"/>
          <w:szCs w:val="32"/>
        </w:rPr>
        <w:t>%，变动原因：不存在此项内容。</w:t>
      </w:r>
    </w:p>
    <w:p>
      <w:pPr>
        <w:spacing w:before="100" w:beforeAutospacing="1" w:after="100" w:afterAutospacing="1" w:line="560" w:lineRule="atLeast"/>
        <w:ind w:firstLine="640"/>
        <w:jc w:val="both"/>
      </w:pPr>
      <w:r>
        <w:rPr>
          <w:rFonts w:ascii="Times New Roman" w:hAnsi="Times New Roman" w:cs="Times New Roman"/>
          <w:sz w:val="32"/>
          <w:szCs w:val="32"/>
        </w:rPr>
        <w:t>3.</w:t>
      </w:r>
      <w:r>
        <w:rPr>
          <w:rFonts w:hint="eastAsia"/>
          <w:sz w:val="32"/>
          <w:szCs w:val="32"/>
        </w:rPr>
        <w:t>年初结转和结余</w:t>
      </w:r>
      <w:r>
        <w:rPr>
          <w:rFonts w:ascii="Times New Roman" w:hAnsi="Times New Roman" w:cs="Times New Roman"/>
          <w:sz w:val="32"/>
          <w:szCs w:val="32"/>
        </w:rPr>
        <w:t>4,006.65</w:t>
      </w:r>
      <w:r>
        <w:rPr>
          <w:rFonts w:hint="eastAsia"/>
          <w:sz w:val="32"/>
          <w:szCs w:val="32"/>
        </w:rPr>
        <w:t>万元。与上年决算相比，增加</w:t>
      </w:r>
      <w:r>
        <w:rPr>
          <w:rFonts w:ascii="Times New Roman" w:hAnsi="Times New Roman" w:cs="Times New Roman"/>
          <w:sz w:val="32"/>
          <w:szCs w:val="32"/>
        </w:rPr>
        <w:t>431.58</w:t>
      </w:r>
      <w:r>
        <w:rPr>
          <w:rFonts w:hint="eastAsia"/>
          <w:sz w:val="32"/>
          <w:szCs w:val="32"/>
        </w:rPr>
        <w:t>万元，增长</w:t>
      </w:r>
      <w:r>
        <w:rPr>
          <w:rFonts w:ascii="Times New Roman" w:hAnsi="Times New Roman" w:cs="Times New Roman"/>
          <w:sz w:val="32"/>
          <w:szCs w:val="32"/>
        </w:rPr>
        <w:t>12.07</w:t>
      </w:r>
      <w:r>
        <w:rPr>
          <w:rFonts w:hint="eastAsia"/>
          <w:sz w:val="32"/>
          <w:szCs w:val="32"/>
        </w:rPr>
        <w:t xml:space="preserve"> %，变动原因：高等职业教育年初结转及中等职业教育年初结转均比上年有所增加。</w:t>
      </w:r>
    </w:p>
    <w:p>
      <w:pPr>
        <w:spacing w:before="100" w:beforeAutospacing="1" w:after="100" w:afterAutospacing="1" w:line="560" w:lineRule="atLeast"/>
        <w:ind w:firstLine="643"/>
        <w:jc w:val="both"/>
      </w:pPr>
      <w:r>
        <w:rPr>
          <w:rFonts w:hint="eastAsia" w:ascii="楷体" w:hAnsi="楷体" w:eastAsia="楷体"/>
          <w:b/>
          <w:bCs/>
          <w:sz w:val="32"/>
          <w:szCs w:val="32"/>
        </w:rPr>
        <w:t>（二）支出决算总计</w:t>
      </w:r>
      <w:r>
        <w:rPr>
          <w:rFonts w:ascii="Times New Roman" w:hAnsi="Times New Roman" w:cs="Times New Roman"/>
          <w:sz w:val="32"/>
          <w:szCs w:val="32"/>
        </w:rPr>
        <w:t>27,858.27</w:t>
      </w:r>
      <w:r>
        <w:rPr>
          <w:rFonts w:hint="eastAsia" w:ascii="楷体" w:hAnsi="楷体" w:eastAsia="楷体"/>
          <w:b/>
          <w:bCs/>
          <w:sz w:val="32"/>
          <w:szCs w:val="32"/>
        </w:rPr>
        <w:t>万元。包括：</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本年支出决算合计</w:t>
      </w:r>
      <w:r>
        <w:rPr>
          <w:rFonts w:ascii="Times New Roman" w:hAnsi="Times New Roman" w:cs="Times New Roman"/>
          <w:sz w:val="32"/>
          <w:szCs w:val="32"/>
        </w:rPr>
        <w:t>23,123.45</w:t>
      </w:r>
      <w:r>
        <w:rPr>
          <w:rFonts w:hint="eastAsia"/>
          <w:sz w:val="32"/>
          <w:szCs w:val="32"/>
        </w:rPr>
        <w:t>万元。与上年决算相比，增加</w:t>
      </w:r>
      <w:r>
        <w:rPr>
          <w:rFonts w:ascii="Times New Roman" w:hAnsi="Times New Roman" w:cs="Times New Roman"/>
          <w:sz w:val="32"/>
          <w:szCs w:val="32"/>
        </w:rPr>
        <w:t>4,062.56</w:t>
      </w:r>
      <w:r>
        <w:rPr>
          <w:rFonts w:hint="eastAsia"/>
          <w:sz w:val="32"/>
          <w:szCs w:val="32"/>
        </w:rPr>
        <w:t>万元，增长</w:t>
      </w:r>
      <w:r>
        <w:rPr>
          <w:rFonts w:ascii="Times New Roman" w:hAnsi="Times New Roman" w:cs="Times New Roman"/>
          <w:sz w:val="32"/>
          <w:szCs w:val="32"/>
        </w:rPr>
        <w:t>21.31</w:t>
      </w:r>
      <w:r>
        <w:rPr>
          <w:rFonts w:hint="eastAsia"/>
          <w:sz w:val="32"/>
          <w:szCs w:val="32"/>
        </w:rPr>
        <w:t xml:space="preserve"> %，变动原因：2022年使用专项债券资金5000万元用于南区教学实训楼项目。</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结余分配</w:t>
      </w:r>
      <w:r>
        <w:rPr>
          <w:rFonts w:hint="eastAsia" w:ascii="Times New Roman" w:hAnsi="Times New Roman" w:cs="Times New Roman"/>
          <w:sz w:val="32"/>
          <w:szCs w:val="32"/>
        </w:rPr>
        <w:t>0</w:t>
      </w:r>
      <w:r>
        <w:rPr>
          <w:rFonts w:hint="eastAsia"/>
          <w:sz w:val="32"/>
          <w:szCs w:val="32"/>
        </w:rPr>
        <w:t>万元。结余分配事项：无。与上年决算相比，增加0万元，增长0%，变动原因：不存在此项内容。</w:t>
      </w:r>
    </w:p>
    <w:p>
      <w:pPr>
        <w:spacing w:before="100" w:beforeAutospacing="1" w:after="100" w:afterAutospacing="1" w:line="560" w:lineRule="atLeast"/>
        <w:ind w:firstLine="640"/>
        <w:jc w:val="both"/>
      </w:pPr>
      <w:r>
        <w:rPr>
          <w:rFonts w:ascii="Times New Roman" w:hAnsi="Times New Roman" w:cs="Times New Roman"/>
          <w:sz w:val="32"/>
          <w:szCs w:val="32"/>
        </w:rPr>
        <w:t>3.</w:t>
      </w:r>
      <w:r>
        <w:rPr>
          <w:rFonts w:hint="eastAsia"/>
          <w:sz w:val="32"/>
          <w:szCs w:val="32"/>
        </w:rPr>
        <w:t>年末结转和结余</w:t>
      </w:r>
      <w:r>
        <w:rPr>
          <w:rFonts w:hint="eastAsia" w:ascii="Times New Roman" w:hAnsi="Times New Roman" w:cs="Times New Roman"/>
          <w:sz w:val="32"/>
          <w:szCs w:val="32"/>
        </w:rPr>
        <w:t>4734.82</w:t>
      </w:r>
      <w:r>
        <w:rPr>
          <w:rFonts w:hint="eastAsia"/>
          <w:sz w:val="32"/>
          <w:szCs w:val="32"/>
        </w:rPr>
        <w:t>万元。结转和结余事项：基本支出中等职业教育结转341万元，基本支出高等职业教育结转4213.66万元，基本支出社会保障就业支出结转138.18万元，基本支出卫生健康支出结转17.52万元，基本支出住房保障支出结转24.46万元。与上年决算相比，增加</w:t>
      </w:r>
      <w:r>
        <w:rPr>
          <w:rFonts w:hint="eastAsia" w:ascii="Times New Roman" w:hAnsi="Times New Roman" w:cs="Times New Roman"/>
          <w:sz w:val="32"/>
          <w:szCs w:val="32"/>
        </w:rPr>
        <w:t>728.18</w:t>
      </w:r>
      <w:r>
        <w:rPr>
          <w:rFonts w:hint="eastAsia"/>
          <w:sz w:val="32"/>
          <w:szCs w:val="32"/>
        </w:rPr>
        <w:t>万元，增长</w:t>
      </w:r>
      <w:r>
        <w:rPr>
          <w:rFonts w:hint="eastAsia" w:ascii="Times New Roman" w:hAnsi="Times New Roman" w:cs="Times New Roman"/>
          <w:sz w:val="32"/>
          <w:szCs w:val="32"/>
        </w:rPr>
        <w:t>18.17%</w:t>
      </w:r>
      <w:r>
        <w:rPr>
          <w:rFonts w:hint="eastAsia"/>
          <w:sz w:val="32"/>
          <w:szCs w:val="32"/>
        </w:rPr>
        <w:t>，变动原因：基本支出高等职业教育比上年结转较多。</w:t>
      </w:r>
    </w:p>
    <w:p>
      <w:pPr>
        <w:spacing w:before="100" w:beforeAutospacing="1" w:after="100" w:afterAutospacing="1" w:line="600" w:lineRule="atLeast"/>
        <w:ind w:firstLine="643"/>
        <w:jc w:val="both"/>
      </w:pPr>
      <w:r>
        <w:rPr>
          <w:rFonts w:hint="eastAsia" w:ascii="黑体" w:hAnsi="黑体" w:eastAsia="黑体"/>
          <w:b/>
          <w:bCs/>
          <w:sz w:val="32"/>
          <w:szCs w:val="32"/>
        </w:rPr>
        <w:t>二、收入决算情况说明</w:t>
      </w:r>
    </w:p>
    <w:p>
      <w:pPr>
        <w:spacing w:before="100" w:beforeAutospacing="1" w:after="100" w:afterAutospacing="1" w:line="560" w:lineRule="atLeast"/>
        <w:ind w:firstLine="640"/>
        <w:jc w:val="both"/>
      </w:pPr>
      <w:r>
        <w:rPr>
          <w:sz w:val="32"/>
          <w:szCs w:val="32"/>
        </w:rPr>
        <w:t>呼伦贝尔职业技术学院部门2022年度本年收入决算合计</w:t>
      </w:r>
      <w:r>
        <w:rPr>
          <w:rFonts w:ascii="Times New Roman" w:hAnsi="Times New Roman" w:cs="Times New Roman"/>
          <w:sz w:val="32"/>
          <w:szCs w:val="32"/>
        </w:rPr>
        <w:t>23,851.62</w:t>
      </w:r>
      <w:r>
        <w:rPr>
          <w:sz w:val="32"/>
          <w:szCs w:val="32"/>
        </w:rPr>
        <w:t>万元，其中：</w:t>
      </w:r>
    </w:p>
    <w:p>
      <w:pPr>
        <w:spacing w:before="100" w:beforeAutospacing="1" w:after="100" w:afterAutospacing="1" w:line="560" w:lineRule="atLeast"/>
        <w:ind w:firstLine="640"/>
        <w:jc w:val="both"/>
      </w:pPr>
      <w:r>
        <w:rPr>
          <w:sz w:val="32"/>
          <w:szCs w:val="32"/>
        </w:rPr>
        <w:t>本年一般公共预算财政拨款收入</w:t>
      </w:r>
      <w:r>
        <w:rPr>
          <w:rFonts w:ascii="Times New Roman" w:hAnsi="Times New Roman" w:cs="Times New Roman"/>
          <w:sz w:val="32"/>
          <w:szCs w:val="32"/>
        </w:rPr>
        <w:t>16,963.39</w:t>
      </w:r>
      <w:r>
        <w:rPr>
          <w:sz w:val="32"/>
          <w:szCs w:val="32"/>
        </w:rPr>
        <w:t>万元，占</w:t>
      </w:r>
      <w:r>
        <w:rPr>
          <w:rFonts w:ascii="Times New Roman" w:hAnsi="Times New Roman" w:cs="Times New Roman"/>
          <w:sz w:val="32"/>
          <w:szCs w:val="32"/>
        </w:rPr>
        <w:t>71.12</w:t>
      </w:r>
      <w:r>
        <w:rPr>
          <w:sz w:val="32"/>
          <w:szCs w:val="32"/>
        </w:rPr>
        <w:t>%；</w:t>
      </w:r>
    </w:p>
    <w:p>
      <w:pPr>
        <w:spacing w:before="100" w:beforeAutospacing="1" w:after="100" w:afterAutospacing="1" w:line="560" w:lineRule="atLeast"/>
        <w:ind w:firstLine="640"/>
        <w:jc w:val="both"/>
      </w:pPr>
      <w:r>
        <w:rPr>
          <w:sz w:val="32"/>
          <w:szCs w:val="32"/>
        </w:rPr>
        <w:t>本年政府性基金预算财政拨款收入</w:t>
      </w:r>
      <w:r>
        <w:rPr>
          <w:rFonts w:ascii="Times New Roman" w:hAnsi="Times New Roman" w:cs="Times New Roman"/>
          <w:sz w:val="32"/>
          <w:szCs w:val="32"/>
        </w:rPr>
        <w:t>5,000</w:t>
      </w:r>
      <w:r>
        <w:rPr>
          <w:sz w:val="32"/>
          <w:szCs w:val="32"/>
        </w:rPr>
        <w:t>万元，占</w:t>
      </w:r>
      <w:r>
        <w:rPr>
          <w:rFonts w:ascii="Times New Roman" w:hAnsi="Times New Roman" w:cs="Times New Roman"/>
          <w:sz w:val="32"/>
          <w:szCs w:val="32"/>
        </w:rPr>
        <w:t>20.96</w:t>
      </w:r>
      <w:r>
        <w:rPr>
          <w:sz w:val="32"/>
          <w:szCs w:val="32"/>
        </w:rPr>
        <w:t>%；</w:t>
      </w:r>
    </w:p>
    <w:p>
      <w:pPr>
        <w:spacing w:before="100" w:beforeAutospacing="1" w:after="100" w:afterAutospacing="1" w:line="560" w:lineRule="atLeast"/>
        <w:ind w:firstLine="640"/>
        <w:jc w:val="both"/>
      </w:pPr>
      <w:r>
        <w:rPr>
          <w:sz w:val="32"/>
          <w:szCs w:val="32"/>
        </w:rPr>
        <w:t>本年国有资本经营预算财政拨款收入</w:t>
      </w:r>
      <w:r>
        <w:rPr>
          <w:rFonts w:ascii="Times New Roman" w:hAnsi="Times New Roman" w:cs="Times New Roman"/>
          <w:sz w:val="32"/>
          <w:szCs w:val="32"/>
        </w:rPr>
        <w:t>0.00</w:t>
      </w:r>
      <w:r>
        <w:rPr>
          <w:sz w:val="32"/>
          <w:szCs w:val="32"/>
        </w:rPr>
        <w:t>万元，占</w:t>
      </w:r>
      <w:r>
        <w:rPr>
          <w:rFonts w:ascii="Times New Roman" w:hAnsi="Times New Roman" w:cs="Times New Roman"/>
          <w:sz w:val="32"/>
          <w:szCs w:val="32"/>
        </w:rPr>
        <w:t>0.00</w:t>
      </w:r>
      <w:r>
        <w:rPr>
          <w:sz w:val="32"/>
          <w:szCs w:val="32"/>
        </w:rPr>
        <w:t>%；</w:t>
      </w:r>
    </w:p>
    <w:p>
      <w:pPr>
        <w:spacing w:before="100" w:beforeAutospacing="1" w:after="100" w:afterAutospacing="1" w:line="560" w:lineRule="atLeast"/>
        <w:ind w:firstLine="640"/>
        <w:jc w:val="both"/>
      </w:pPr>
      <w:r>
        <w:rPr>
          <w:sz w:val="32"/>
          <w:szCs w:val="32"/>
        </w:rPr>
        <w:t>本年上级补助收入</w:t>
      </w:r>
      <w:r>
        <w:rPr>
          <w:rFonts w:ascii="Times New Roman" w:hAnsi="Times New Roman" w:cs="Times New Roman"/>
          <w:sz w:val="32"/>
          <w:szCs w:val="32"/>
        </w:rPr>
        <w:t>0.00</w:t>
      </w:r>
      <w:r>
        <w:rPr>
          <w:sz w:val="32"/>
          <w:szCs w:val="32"/>
        </w:rPr>
        <w:t>万元，占</w:t>
      </w:r>
      <w:r>
        <w:rPr>
          <w:rFonts w:ascii="Times New Roman" w:hAnsi="Times New Roman" w:cs="Times New Roman"/>
          <w:sz w:val="32"/>
          <w:szCs w:val="32"/>
        </w:rPr>
        <w:t>0.00</w:t>
      </w:r>
      <w:r>
        <w:rPr>
          <w:sz w:val="32"/>
          <w:szCs w:val="32"/>
        </w:rPr>
        <w:t>%；</w:t>
      </w:r>
    </w:p>
    <w:p>
      <w:pPr>
        <w:spacing w:before="100" w:beforeAutospacing="1" w:after="100" w:afterAutospacing="1" w:line="560" w:lineRule="atLeast"/>
        <w:ind w:firstLine="640"/>
        <w:jc w:val="both"/>
      </w:pPr>
      <w:r>
        <w:rPr>
          <w:sz w:val="32"/>
          <w:szCs w:val="32"/>
        </w:rPr>
        <w:t>本年事业收入</w:t>
      </w:r>
      <w:r>
        <w:rPr>
          <w:rFonts w:ascii="Times New Roman" w:hAnsi="Times New Roman" w:cs="Times New Roman"/>
          <w:sz w:val="32"/>
          <w:szCs w:val="32"/>
        </w:rPr>
        <w:t>1,809.13</w:t>
      </w:r>
      <w:r>
        <w:rPr>
          <w:sz w:val="32"/>
          <w:szCs w:val="32"/>
        </w:rPr>
        <w:t>万元，占</w:t>
      </w:r>
      <w:r>
        <w:rPr>
          <w:rFonts w:ascii="Times New Roman" w:hAnsi="Times New Roman" w:cs="Times New Roman"/>
          <w:sz w:val="32"/>
          <w:szCs w:val="32"/>
        </w:rPr>
        <w:t>7.5</w:t>
      </w:r>
      <w:r>
        <w:rPr>
          <w:rFonts w:hint="eastAsia" w:ascii="Times New Roman" w:hAnsi="Times New Roman" w:cs="Times New Roman"/>
          <w:sz w:val="32"/>
          <w:szCs w:val="32"/>
        </w:rPr>
        <w:t>9</w:t>
      </w:r>
      <w:r>
        <w:rPr>
          <w:sz w:val="32"/>
          <w:szCs w:val="32"/>
        </w:rPr>
        <w:t>%；</w:t>
      </w:r>
    </w:p>
    <w:p>
      <w:pPr>
        <w:spacing w:before="100" w:beforeAutospacing="1" w:after="100" w:afterAutospacing="1" w:line="560" w:lineRule="atLeast"/>
        <w:ind w:firstLine="640"/>
        <w:jc w:val="both"/>
      </w:pPr>
      <w:r>
        <w:rPr>
          <w:sz w:val="32"/>
          <w:szCs w:val="32"/>
        </w:rPr>
        <w:t>本年经营收入</w:t>
      </w:r>
      <w:r>
        <w:rPr>
          <w:rFonts w:ascii="Times New Roman" w:hAnsi="Times New Roman" w:cs="Times New Roman"/>
          <w:sz w:val="32"/>
          <w:szCs w:val="32"/>
        </w:rPr>
        <w:t>0.00</w:t>
      </w:r>
      <w:r>
        <w:rPr>
          <w:sz w:val="32"/>
          <w:szCs w:val="32"/>
        </w:rPr>
        <w:t>万元，占</w:t>
      </w:r>
      <w:r>
        <w:rPr>
          <w:rFonts w:ascii="Times New Roman" w:hAnsi="Times New Roman" w:cs="Times New Roman"/>
          <w:sz w:val="32"/>
          <w:szCs w:val="32"/>
        </w:rPr>
        <w:t>0.00</w:t>
      </w:r>
      <w:r>
        <w:rPr>
          <w:sz w:val="32"/>
          <w:szCs w:val="32"/>
        </w:rPr>
        <w:t>%；</w:t>
      </w:r>
    </w:p>
    <w:p>
      <w:pPr>
        <w:spacing w:before="100" w:beforeAutospacing="1" w:after="100" w:afterAutospacing="1" w:line="560" w:lineRule="atLeast"/>
        <w:ind w:firstLine="640"/>
        <w:jc w:val="both"/>
      </w:pPr>
      <w:r>
        <w:rPr>
          <w:sz w:val="32"/>
          <w:szCs w:val="32"/>
        </w:rPr>
        <w:t>本年附属单位上缴收入</w:t>
      </w:r>
      <w:r>
        <w:rPr>
          <w:rFonts w:ascii="Times New Roman" w:hAnsi="Times New Roman" w:cs="Times New Roman"/>
          <w:sz w:val="32"/>
          <w:szCs w:val="32"/>
        </w:rPr>
        <w:t>0.00</w:t>
      </w:r>
      <w:r>
        <w:rPr>
          <w:sz w:val="32"/>
          <w:szCs w:val="32"/>
        </w:rPr>
        <w:t>万元，占</w:t>
      </w:r>
      <w:r>
        <w:rPr>
          <w:rFonts w:ascii="Times New Roman" w:hAnsi="Times New Roman" w:cs="Times New Roman"/>
          <w:sz w:val="32"/>
          <w:szCs w:val="32"/>
        </w:rPr>
        <w:t>0.00</w:t>
      </w:r>
      <w:r>
        <w:rPr>
          <w:sz w:val="32"/>
          <w:szCs w:val="32"/>
        </w:rPr>
        <w:t>%；</w:t>
      </w:r>
    </w:p>
    <w:p>
      <w:pPr>
        <w:spacing w:before="100" w:beforeAutospacing="1" w:after="100" w:afterAutospacing="1" w:line="560" w:lineRule="atLeast"/>
        <w:ind w:firstLine="640"/>
        <w:jc w:val="both"/>
      </w:pPr>
      <w:r>
        <w:rPr>
          <w:sz w:val="32"/>
          <w:szCs w:val="32"/>
        </w:rPr>
        <w:t>本年其他收入</w:t>
      </w:r>
      <w:r>
        <w:rPr>
          <w:rFonts w:ascii="Times New Roman" w:hAnsi="Times New Roman" w:cs="Times New Roman"/>
          <w:sz w:val="32"/>
          <w:szCs w:val="32"/>
        </w:rPr>
        <w:t>79.10</w:t>
      </w:r>
      <w:r>
        <w:rPr>
          <w:sz w:val="32"/>
          <w:szCs w:val="32"/>
        </w:rPr>
        <w:t>万元，占</w:t>
      </w:r>
      <w:r>
        <w:rPr>
          <w:rFonts w:ascii="Times New Roman" w:hAnsi="Times New Roman" w:cs="Times New Roman"/>
          <w:sz w:val="32"/>
          <w:szCs w:val="32"/>
        </w:rPr>
        <w:t>0.33</w:t>
      </w:r>
      <w:r>
        <w:rPr>
          <w:sz w:val="32"/>
          <w:szCs w:val="32"/>
        </w:rPr>
        <w:t>%。</w:t>
      </w:r>
    </w:p>
    <w:p>
      <w:pPr>
        <w:spacing w:before="100" w:beforeAutospacing="1" w:after="100" w:afterAutospacing="1" w:line="560" w:lineRule="atLeast"/>
        <w:ind w:firstLine="640"/>
        <w:jc w:val="center"/>
      </w:pPr>
      <w:r>
        <w:rPr>
          <w:rFonts w:ascii="Times New Roman" w:hAnsi="Times New Roman" w:cs="Times New Roman"/>
          <w:sz w:val="32"/>
          <w:szCs w:val="32"/>
        </w:rPr>
        <w:t> </w:t>
      </w:r>
      <w:r>
        <w:rPr>
          <w:rFonts w:ascii="Times New Roman" w:hAnsi="Times New Roman" w:cs="Times New Roman"/>
          <w:sz w:val="32"/>
          <w:szCs w:val="32"/>
        </w:rPr>
        <w:drawing>
          <wp:inline distT="0" distB="0" distL="0" distR="0">
            <wp:extent cx="5274945" cy="3077210"/>
            <wp:effectExtent l="19050" t="0" r="20955"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00" w:beforeAutospacing="1" w:after="100" w:afterAutospacing="1" w:line="560" w:lineRule="atLeast"/>
        <w:ind w:firstLine="640"/>
        <w:jc w:val="center"/>
      </w:pPr>
      <w:r>
        <w:rPr>
          <w:rFonts w:hint="eastAsia"/>
          <w:sz w:val="32"/>
          <w:szCs w:val="32"/>
        </w:rPr>
        <w:t>图</w:t>
      </w:r>
      <w:r>
        <w:rPr>
          <w:rFonts w:ascii="Times New Roman" w:hAnsi="Times New Roman" w:cs="Times New Roman"/>
          <w:sz w:val="32"/>
          <w:szCs w:val="32"/>
        </w:rPr>
        <w:t>1.</w:t>
      </w:r>
      <w:r>
        <w:rPr>
          <w:rFonts w:hint="eastAsia"/>
          <w:sz w:val="32"/>
          <w:szCs w:val="32"/>
        </w:rPr>
        <w:t>收入决算图</w:t>
      </w:r>
    </w:p>
    <w:p>
      <w:pPr>
        <w:spacing w:before="100" w:beforeAutospacing="1" w:after="100" w:afterAutospacing="1" w:line="600" w:lineRule="atLeast"/>
        <w:ind w:firstLine="643"/>
        <w:jc w:val="both"/>
      </w:pPr>
      <w:r>
        <w:rPr>
          <w:rFonts w:hint="eastAsia" w:ascii="黑体" w:hAnsi="黑体" w:eastAsia="黑体"/>
          <w:b/>
          <w:bCs/>
          <w:sz w:val="32"/>
          <w:szCs w:val="32"/>
        </w:rPr>
        <w:t>三、支出决算情况说明</w:t>
      </w:r>
    </w:p>
    <w:p>
      <w:pPr>
        <w:spacing w:before="100" w:beforeAutospacing="1" w:after="100" w:afterAutospacing="1" w:line="560" w:lineRule="atLeast"/>
        <w:ind w:firstLine="640"/>
        <w:jc w:val="both"/>
      </w:pPr>
      <w:r>
        <w:rPr>
          <w:sz w:val="32"/>
          <w:szCs w:val="32"/>
        </w:rPr>
        <w:t>呼伦贝尔职业技术学院部门2022年度本年支出决算合计</w:t>
      </w:r>
      <w:r>
        <w:rPr>
          <w:rFonts w:ascii="Times New Roman" w:hAnsi="Times New Roman" w:cs="Times New Roman"/>
          <w:sz w:val="32"/>
          <w:szCs w:val="32"/>
        </w:rPr>
        <w:t>23,123.45</w:t>
      </w:r>
      <w:r>
        <w:rPr>
          <w:sz w:val="32"/>
          <w:szCs w:val="32"/>
        </w:rPr>
        <w:t>万元，其中：</w:t>
      </w:r>
    </w:p>
    <w:p>
      <w:pPr>
        <w:spacing w:before="100" w:beforeAutospacing="1" w:after="100" w:afterAutospacing="1" w:line="560" w:lineRule="atLeast"/>
        <w:ind w:firstLine="640"/>
        <w:jc w:val="both"/>
      </w:pPr>
      <w:r>
        <w:rPr>
          <w:sz w:val="32"/>
          <w:szCs w:val="32"/>
        </w:rPr>
        <w:t>本年基本支出</w:t>
      </w:r>
      <w:r>
        <w:rPr>
          <w:rFonts w:ascii="Times New Roman" w:hAnsi="Times New Roman" w:cs="Times New Roman"/>
          <w:sz w:val="32"/>
          <w:szCs w:val="32"/>
        </w:rPr>
        <w:t>15,365.85</w:t>
      </w:r>
      <w:r>
        <w:rPr>
          <w:sz w:val="32"/>
          <w:szCs w:val="32"/>
        </w:rPr>
        <w:t>万元，占</w:t>
      </w:r>
      <w:r>
        <w:rPr>
          <w:rFonts w:ascii="Times New Roman" w:hAnsi="Times New Roman" w:cs="Times New Roman"/>
          <w:sz w:val="32"/>
          <w:szCs w:val="32"/>
        </w:rPr>
        <w:t>66.45</w:t>
      </w:r>
      <w:r>
        <w:rPr>
          <w:sz w:val="32"/>
          <w:szCs w:val="32"/>
        </w:rPr>
        <w:t>%；</w:t>
      </w:r>
    </w:p>
    <w:p>
      <w:pPr>
        <w:spacing w:before="100" w:beforeAutospacing="1" w:after="100" w:afterAutospacing="1" w:line="560" w:lineRule="atLeast"/>
        <w:ind w:firstLine="640"/>
        <w:jc w:val="both"/>
      </w:pPr>
      <w:r>
        <w:rPr>
          <w:sz w:val="32"/>
          <w:szCs w:val="32"/>
        </w:rPr>
        <w:t>本年项目支出</w:t>
      </w:r>
      <w:r>
        <w:rPr>
          <w:rFonts w:ascii="Times New Roman" w:hAnsi="Times New Roman" w:cs="Times New Roman"/>
          <w:sz w:val="32"/>
          <w:szCs w:val="32"/>
        </w:rPr>
        <w:t>7,757.59</w:t>
      </w:r>
      <w:r>
        <w:rPr>
          <w:sz w:val="32"/>
          <w:szCs w:val="32"/>
        </w:rPr>
        <w:t>万元，占</w:t>
      </w:r>
      <w:r>
        <w:rPr>
          <w:rFonts w:ascii="Times New Roman" w:hAnsi="Times New Roman" w:cs="Times New Roman"/>
          <w:sz w:val="32"/>
          <w:szCs w:val="32"/>
        </w:rPr>
        <w:t>33.55</w:t>
      </w:r>
      <w:r>
        <w:rPr>
          <w:sz w:val="32"/>
          <w:szCs w:val="32"/>
        </w:rPr>
        <w:t>%；</w:t>
      </w:r>
    </w:p>
    <w:p>
      <w:pPr>
        <w:spacing w:before="100" w:beforeAutospacing="1" w:after="100" w:afterAutospacing="1" w:line="560" w:lineRule="atLeast"/>
        <w:ind w:firstLine="640"/>
        <w:jc w:val="both"/>
      </w:pPr>
      <w:r>
        <w:rPr>
          <w:sz w:val="32"/>
          <w:szCs w:val="32"/>
        </w:rPr>
        <w:t>本年上缴上级支出</w:t>
      </w:r>
      <w:r>
        <w:rPr>
          <w:rFonts w:ascii="Times New Roman" w:hAnsi="Times New Roman" w:cs="Times New Roman"/>
          <w:sz w:val="32"/>
          <w:szCs w:val="32"/>
        </w:rPr>
        <w:t>0.00</w:t>
      </w:r>
      <w:r>
        <w:rPr>
          <w:sz w:val="32"/>
          <w:szCs w:val="32"/>
        </w:rPr>
        <w:t>万元，占</w:t>
      </w:r>
      <w:r>
        <w:rPr>
          <w:rFonts w:ascii="Times New Roman" w:hAnsi="Times New Roman" w:cs="Times New Roman"/>
          <w:sz w:val="32"/>
          <w:szCs w:val="32"/>
        </w:rPr>
        <w:t>0.00</w:t>
      </w:r>
      <w:r>
        <w:rPr>
          <w:sz w:val="32"/>
          <w:szCs w:val="32"/>
        </w:rPr>
        <w:t>%；</w:t>
      </w:r>
    </w:p>
    <w:p>
      <w:pPr>
        <w:spacing w:before="100" w:beforeAutospacing="1" w:after="100" w:afterAutospacing="1" w:line="560" w:lineRule="atLeast"/>
        <w:ind w:firstLine="640"/>
        <w:jc w:val="both"/>
      </w:pPr>
      <w:r>
        <w:rPr>
          <w:sz w:val="32"/>
          <w:szCs w:val="32"/>
        </w:rPr>
        <w:t>本年经营支出</w:t>
      </w:r>
      <w:r>
        <w:rPr>
          <w:rFonts w:ascii="Times New Roman" w:hAnsi="Times New Roman" w:cs="Times New Roman"/>
          <w:sz w:val="32"/>
          <w:szCs w:val="32"/>
        </w:rPr>
        <w:t>0.00</w:t>
      </w:r>
      <w:r>
        <w:rPr>
          <w:sz w:val="32"/>
          <w:szCs w:val="32"/>
        </w:rPr>
        <w:t>万元，占</w:t>
      </w:r>
      <w:r>
        <w:rPr>
          <w:rFonts w:ascii="Times New Roman" w:hAnsi="Times New Roman" w:cs="Times New Roman"/>
          <w:sz w:val="32"/>
          <w:szCs w:val="32"/>
        </w:rPr>
        <w:t>0.00</w:t>
      </w:r>
      <w:r>
        <w:rPr>
          <w:sz w:val="32"/>
          <w:szCs w:val="32"/>
        </w:rPr>
        <w:t>%；</w:t>
      </w:r>
    </w:p>
    <w:p>
      <w:pPr>
        <w:spacing w:before="100" w:beforeAutospacing="1" w:after="100" w:afterAutospacing="1" w:line="560" w:lineRule="atLeast"/>
        <w:ind w:firstLine="640"/>
        <w:jc w:val="both"/>
      </w:pPr>
      <w:r>
        <w:rPr>
          <w:sz w:val="32"/>
          <w:szCs w:val="32"/>
        </w:rPr>
        <w:t>本年对附属单位补助支出</w:t>
      </w:r>
      <w:r>
        <w:rPr>
          <w:rFonts w:ascii="Times New Roman" w:hAnsi="Times New Roman" w:cs="Times New Roman"/>
          <w:sz w:val="32"/>
          <w:szCs w:val="32"/>
        </w:rPr>
        <w:t>0.00</w:t>
      </w:r>
      <w:r>
        <w:rPr>
          <w:sz w:val="32"/>
          <w:szCs w:val="32"/>
        </w:rPr>
        <w:t>万元，占</w:t>
      </w:r>
      <w:r>
        <w:rPr>
          <w:rFonts w:ascii="Times New Roman" w:hAnsi="Times New Roman" w:cs="Times New Roman"/>
          <w:sz w:val="32"/>
          <w:szCs w:val="32"/>
        </w:rPr>
        <w:t>0.00</w:t>
      </w:r>
      <w:r>
        <w:rPr>
          <w:sz w:val="32"/>
          <w:szCs w:val="32"/>
        </w:rPr>
        <w:t>%。</w:t>
      </w:r>
    </w:p>
    <w:p>
      <w:pPr>
        <w:spacing w:before="100" w:beforeAutospacing="1" w:after="100" w:afterAutospacing="1" w:line="560" w:lineRule="atLeast"/>
        <w:jc w:val="center"/>
      </w:pPr>
      <w:r>
        <w:rPr>
          <w:rFonts w:ascii="Times New Roman" w:hAnsi="Times New Roman" w:cs="Times New Roman"/>
          <w:sz w:val="32"/>
          <w:szCs w:val="32"/>
        </w:rPr>
        <w:drawing>
          <wp:inline distT="0" distB="0" distL="0" distR="0">
            <wp:extent cx="5274945" cy="3077210"/>
            <wp:effectExtent l="19050" t="0" r="20955"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hAnsi="Times New Roman" w:cs="Times New Roman"/>
          <w:sz w:val="32"/>
          <w:szCs w:val="32"/>
        </w:rPr>
        <w:t> </w:t>
      </w:r>
    </w:p>
    <w:p>
      <w:pPr>
        <w:spacing w:before="100" w:beforeAutospacing="1" w:after="100" w:afterAutospacing="1" w:line="560" w:lineRule="atLeast"/>
        <w:jc w:val="center"/>
      </w:pPr>
      <w:r>
        <w:rPr>
          <w:rFonts w:hint="eastAsia"/>
          <w:sz w:val="32"/>
          <w:szCs w:val="32"/>
        </w:rPr>
        <w:t>图</w:t>
      </w:r>
      <w:r>
        <w:rPr>
          <w:rFonts w:ascii="Times New Roman" w:hAnsi="Times New Roman" w:cs="Times New Roman"/>
          <w:sz w:val="32"/>
          <w:szCs w:val="32"/>
        </w:rPr>
        <w:t>2.</w:t>
      </w:r>
      <w:r>
        <w:rPr>
          <w:rFonts w:hint="eastAsia"/>
          <w:sz w:val="32"/>
          <w:szCs w:val="32"/>
        </w:rPr>
        <w:t>支出决算图</w:t>
      </w:r>
    </w:p>
    <w:p>
      <w:pPr>
        <w:spacing w:before="100" w:beforeAutospacing="1" w:after="100" w:afterAutospacing="1" w:line="560" w:lineRule="atLeast"/>
        <w:jc w:val="center"/>
      </w:pPr>
      <w:r>
        <w:rPr>
          <w:rFonts w:ascii="Times New Roman" w:hAnsi="Times New Roman" w:cs="Times New Roman"/>
          <w:sz w:val="32"/>
          <w:szCs w:val="32"/>
        </w:rPr>
        <w:t> </w:t>
      </w:r>
    </w:p>
    <w:p>
      <w:pPr>
        <w:spacing w:before="100" w:beforeAutospacing="1" w:after="100" w:afterAutospacing="1" w:line="600" w:lineRule="atLeast"/>
        <w:ind w:firstLine="643"/>
        <w:jc w:val="both"/>
      </w:pPr>
      <w:r>
        <w:rPr>
          <w:rFonts w:hint="eastAsia" w:ascii="黑体" w:hAnsi="黑体" w:eastAsia="黑体"/>
          <w:b/>
          <w:bCs/>
          <w:sz w:val="32"/>
          <w:szCs w:val="32"/>
        </w:rPr>
        <w:t>四、财政拨款收入支出决算总体情况说明</w:t>
      </w:r>
    </w:p>
    <w:p>
      <w:pPr>
        <w:snapToGrid w:val="0"/>
        <w:spacing w:before="100" w:beforeAutospacing="1" w:after="100" w:afterAutospacing="1" w:line="560" w:lineRule="atLeast"/>
        <w:ind w:firstLine="640"/>
        <w:jc w:val="both"/>
        <w:rPr>
          <w:sz w:val="32"/>
          <w:szCs w:val="32"/>
        </w:rPr>
      </w:pPr>
      <w:r>
        <w:rPr>
          <w:rFonts w:hint="eastAsia"/>
          <w:sz w:val="32"/>
          <w:szCs w:val="32"/>
        </w:rPr>
        <w:t>呼伦贝尔职业技术学院部门</w:t>
      </w:r>
      <w:r>
        <w:rPr>
          <w:sz w:val="32"/>
          <w:szCs w:val="32"/>
        </w:rPr>
        <w:t xml:space="preserve"> </w:t>
      </w:r>
      <w:r>
        <w:rPr>
          <w:rFonts w:hint="eastAsia"/>
          <w:sz w:val="32"/>
          <w:szCs w:val="32"/>
        </w:rPr>
        <w:t>2022年度财政拨款收入、支出决算总计</w:t>
      </w:r>
      <w:r>
        <w:rPr>
          <w:sz w:val="32"/>
          <w:szCs w:val="32"/>
        </w:rPr>
        <w:t>23,027.82</w:t>
      </w:r>
      <w:r>
        <w:rPr>
          <w:rFonts w:hint="eastAsia"/>
          <w:sz w:val="32"/>
          <w:szCs w:val="32"/>
        </w:rPr>
        <w:t>万元，与年初预算相比，收、支总计各增加7470.60万元，增长</w:t>
      </w:r>
      <w:r>
        <w:rPr>
          <w:sz w:val="32"/>
          <w:szCs w:val="32"/>
        </w:rPr>
        <w:t>4</w:t>
      </w:r>
      <w:r>
        <w:rPr>
          <w:rFonts w:hint="eastAsia"/>
          <w:sz w:val="32"/>
          <w:szCs w:val="32"/>
        </w:rPr>
        <w:t>8.02%，变动原因：2022年下达并使用专项债券资金5000万元用于南区教学实训楼项目，社会保障和就业支出比预算相比有所增加；与上年决算相比，收、支总计各增加</w:t>
      </w:r>
      <w:r>
        <w:rPr>
          <w:sz w:val="32"/>
          <w:szCs w:val="32"/>
        </w:rPr>
        <w:t>5,757.91</w:t>
      </w:r>
      <w:r>
        <w:rPr>
          <w:rFonts w:hint="eastAsia"/>
          <w:sz w:val="32"/>
          <w:szCs w:val="32"/>
        </w:rPr>
        <w:t>万元，增长</w:t>
      </w:r>
      <w:r>
        <w:rPr>
          <w:sz w:val="32"/>
          <w:szCs w:val="32"/>
        </w:rPr>
        <w:t>33.34</w:t>
      </w:r>
      <w:r>
        <w:rPr>
          <w:rFonts w:hint="eastAsia"/>
          <w:sz w:val="32"/>
          <w:szCs w:val="32"/>
        </w:rPr>
        <w:t>%，变动原因：2022年下达并使用专项债券资金5000万元用于南区教学实训楼项目，社会保障和就业支出比上年增加529.16万元。</w:t>
      </w:r>
    </w:p>
    <w:p>
      <w:pPr>
        <w:spacing w:before="100" w:beforeAutospacing="1" w:after="100" w:afterAutospacing="1" w:line="600" w:lineRule="atLeast"/>
        <w:ind w:firstLine="643"/>
        <w:jc w:val="both"/>
      </w:pPr>
      <w:r>
        <w:rPr>
          <w:rFonts w:hint="eastAsia" w:ascii="黑体" w:hAnsi="黑体" w:eastAsia="黑体"/>
          <w:b/>
          <w:bCs/>
          <w:sz w:val="32"/>
          <w:szCs w:val="32"/>
        </w:rPr>
        <w:t>五、一般公共预算支出决算情况说明</w:t>
      </w:r>
    </w:p>
    <w:p>
      <w:pPr>
        <w:spacing w:before="100" w:beforeAutospacing="1" w:after="100" w:afterAutospacing="1" w:line="560" w:lineRule="atLeast"/>
        <w:ind w:firstLine="640"/>
        <w:jc w:val="both"/>
      </w:pPr>
      <w:r>
        <w:rPr>
          <w:rFonts w:hint="eastAsia"/>
          <w:sz w:val="32"/>
          <w:szCs w:val="32"/>
        </w:rPr>
        <w:t>呼伦贝尔职业技术学院部门2022年度一般公共预算财政拨款支出决算</w:t>
      </w:r>
      <w:r>
        <w:rPr>
          <w:rFonts w:ascii="Times New Roman" w:hAnsi="Times New Roman" w:cs="Times New Roman"/>
          <w:sz w:val="32"/>
          <w:szCs w:val="32"/>
        </w:rPr>
        <w:t>16,505.62</w:t>
      </w:r>
      <w:r>
        <w:rPr>
          <w:rFonts w:hint="eastAsia"/>
          <w:sz w:val="32"/>
          <w:szCs w:val="32"/>
        </w:rPr>
        <w:t>万元。与年初预算</w:t>
      </w:r>
      <w:r>
        <w:rPr>
          <w:rFonts w:hint="eastAsia" w:ascii="Times New Roman" w:hAnsi="Times New Roman" w:cs="Times New Roman"/>
          <w:sz w:val="32"/>
          <w:szCs w:val="32"/>
        </w:rPr>
        <w:t>15557.22</w:t>
      </w:r>
      <w:r>
        <w:rPr>
          <w:rFonts w:hint="eastAsia"/>
          <w:sz w:val="32"/>
          <w:szCs w:val="32"/>
        </w:rPr>
        <w:t>万元相比，完成年初预算的</w:t>
      </w:r>
      <w:r>
        <w:rPr>
          <w:rFonts w:ascii="Times New Roman" w:hAnsi="Times New Roman" w:cs="Times New Roman"/>
          <w:sz w:val="32"/>
          <w:szCs w:val="32"/>
        </w:rPr>
        <w:t>106.</w:t>
      </w:r>
      <w:r>
        <w:rPr>
          <w:rFonts w:hint="eastAsia" w:ascii="Times New Roman" w:hAnsi="Times New Roman" w:cs="Times New Roman"/>
          <w:sz w:val="32"/>
          <w:szCs w:val="32"/>
        </w:rPr>
        <w:t>10</w:t>
      </w:r>
      <w:r>
        <w:rPr>
          <w:rFonts w:hint="eastAsia"/>
          <w:sz w:val="32"/>
          <w:szCs w:val="32"/>
        </w:rPr>
        <w:t>%。其中：</w:t>
      </w:r>
    </w:p>
    <w:p>
      <w:pPr>
        <w:spacing w:before="100" w:beforeAutospacing="1" w:after="100" w:afterAutospacing="1" w:line="560" w:lineRule="atLeast"/>
        <w:ind w:firstLine="643"/>
        <w:jc w:val="both"/>
      </w:pPr>
      <w:r>
        <w:rPr>
          <w:rFonts w:hint="eastAsia" w:ascii="楷体" w:hAnsi="楷体" w:eastAsia="楷体"/>
          <w:b/>
          <w:bCs/>
          <w:sz w:val="32"/>
          <w:szCs w:val="32"/>
        </w:rPr>
        <w:t>（一）教育支出（类）</w:t>
      </w:r>
    </w:p>
    <w:p>
      <w:pPr>
        <w:spacing w:before="100" w:beforeAutospacing="1" w:after="100" w:afterAutospacing="1" w:line="560" w:lineRule="atLeast"/>
        <w:ind w:firstLine="640"/>
        <w:jc w:val="both"/>
      </w:pPr>
      <w:r>
        <w:rPr>
          <w:rFonts w:hint="eastAsia"/>
          <w:sz w:val="32"/>
          <w:szCs w:val="32"/>
        </w:rPr>
        <w:t>教育支出类决算数为</w:t>
      </w:r>
      <w:r>
        <w:rPr>
          <w:rFonts w:hint="eastAsia" w:ascii="Times New Roman" w:hAnsi="Times New Roman" w:cs="Times New Roman"/>
          <w:sz w:val="32"/>
          <w:szCs w:val="32"/>
        </w:rPr>
        <w:t>12695.15</w:t>
      </w:r>
      <w:r>
        <w:rPr>
          <w:rFonts w:hint="eastAsia"/>
          <w:sz w:val="32"/>
          <w:szCs w:val="32"/>
        </w:rPr>
        <w:t>万元，与年初预算相比增加</w:t>
      </w:r>
      <w:r>
        <w:rPr>
          <w:rFonts w:hint="eastAsia" w:ascii="Times New Roman" w:hAnsi="Times New Roman" w:cs="Times New Roman"/>
          <w:sz w:val="32"/>
          <w:szCs w:val="32"/>
        </w:rPr>
        <w:t>161.73</w:t>
      </w:r>
      <w:r>
        <w:rPr>
          <w:rFonts w:hint="eastAsia"/>
          <w:sz w:val="32"/>
          <w:szCs w:val="32"/>
        </w:rPr>
        <w:t>万元。其中：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．职业教育（款）中等职业教育（项）。年初预算</w:t>
      </w:r>
      <w:r>
        <w:rPr>
          <w:rFonts w:hint="eastAsia" w:ascii="Times New Roman" w:hAnsi="Times New Roman" w:cs="Times New Roman"/>
          <w:sz w:val="32"/>
          <w:szCs w:val="32"/>
        </w:rPr>
        <w:t>520.68</w:t>
      </w:r>
      <w:r>
        <w:rPr>
          <w:rFonts w:hint="eastAsia"/>
          <w:sz w:val="32"/>
          <w:szCs w:val="32"/>
        </w:rPr>
        <w:t>万元，支出决算</w:t>
      </w:r>
      <w:r>
        <w:rPr>
          <w:rFonts w:hint="eastAsia" w:ascii="Times New Roman" w:hAnsi="Times New Roman" w:cs="Times New Roman"/>
          <w:sz w:val="32"/>
          <w:szCs w:val="32"/>
        </w:rPr>
        <w:t>346.92</w:t>
      </w:r>
      <w:r>
        <w:rPr>
          <w:rFonts w:hint="eastAsia"/>
          <w:sz w:val="32"/>
          <w:szCs w:val="32"/>
        </w:rPr>
        <w:t>万元，完成年初预算的</w:t>
      </w:r>
      <w:r>
        <w:rPr>
          <w:rFonts w:hint="eastAsia" w:ascii="Times New Roman" w:hAnsi="Times New Roman" w:cs="Times New Roman"/>
          <w:sz w:val="32"/>
          <w:szCs w:val="32"/>
        </w:rPr>
        <w:t>66.63</w:t>
      </w:r>
      <w:r>
        <w:rPr>
          <w:rFonts w:hint="eastAsia"/>
          <w:sz w:val="32"/>
          <w:szCs w:val="32"/>
        </w:rPr>
        <w:t>%。决算数与年初预算数的差异原因：一是因疫情原因，2022年资金整体支出进度较为缓慢；二是学院账户自2022年9月至12月一直处于异常状态，无法及时进行支出，12月账户恢复正常后支出时间有限，导致支出金额较少。</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．职业教育（款）高等职业教育（项）。年初预算</w:t>
      </w:r>
      <w:r>
        <w:rPr>
          <w:rFonts w:hint="eastAsia" w:ascii="Times New Roman" w:hAnsi="Times New Roman" w:cs="Times New Roman"/>
          <w:sz w:val="32"/>
          <w:szCs w:val="32"/>
        </w:rPr>
        <w:t>11992.74</w:t>
      </w:r>
      <w:r>
        <w:rPr>
          <w:rFonts w:hint="eastAsia"/>
          <w:sz w:val="32"/>
          <w:szCs w:val="32"/>
        </w:rPr>
        <w:t>万元，支出决算</w:t>
      </w:r>
      <w:r>
        <w:rPr>
          <w:rFonts w:hint="eastAsia" w:ascii="Times New Roman" w:hAnsi="Times New Roman" w:cs="Times New Roman"/>
          <w:sz w:val="32"/>
          <w:szCs w:val="32"/>
        </w:rPr>
        <w:t>12328.23</w:t>
      </w:r>
      <w:r>
        <w:rPr>
          <w:rFonts w:hint="eastAsia"/>
          <w:sz w:val="32"/>
          <w:szCs w:val="32"/>
        </w:rPr>
        <w:t>万元，完成年初预算的</w:t>
      </w:r>
      <w:r>
        <w:rPr>
          <w:rFonts w:hint="eastAsia" w:ascii="Times New Roman" w:hAnsi="Times New Roman" w:cs="Times New Roman"/>
          <w:sz w:val="32"/>
          <w:szCs w:val="32"/>
        </w:rPr>
        <w:t>102.80</w:t>
      </w:r>
      <w:r>
        <w:rPr>
          <w:rFonts w:hint="eastAsia"/>
          <w:sz w:val="32"/>
          <w:szCs w:val="32"/>
        </w:rPr>
        <w:t>%。决算数与年初预算数的差异原因：高等职业教育项目支出包含2021年结转项目。</w:t>
      </w:r>
    </w:p>
    <w:p>
      <w:pPr>
        <w:spacing w:before="100" w:beforeAutospacing="1" w:after="100" w:afterAutospacing="1" w:line="560" w:lineRule="atLeast"/>
        <w:ind w:firstLine="643"/>
        <w:jc w:val="both"/>
      </w:pPr>
      <w:r>
        <w:rPr>
          <w:rFonts w:hint="eastAsia" w:ascii="楷体" w:hAnsi="楷体" w:eastAsia="楷体"/>
          <w:b/>
          <w:bCs/>
          <w:sz w:val="32"/>
          <w:szCs w:val="32"/>
        </w:rPr>
        <w:t>（二）社会保障和就业支出（类）</w:t>
      </w:r>
    </w:p>
    <w:p>
      <w:pPr>
        <w:spacing w:before="100" w:beforeAutospacing="1" w:after="100" w:afterAutospacing="1" w:line="560" w:lineRule="atLeast"/>
        <w:ind w:firstLine="640"/>
        <w:jc w:val="both"/>
      </w:pPr>
      <w:r>
        <w:rPr>
          <w:rFonts w:hint="eastAsia"/>
          <w:sz w:val="32"/>
          <w:szCs w:val="32"/>
        </w:rPr>
        <w:t>社会保障和就业支出类决算数为</w:t>
      </w:r>
      <w:r>
        <w:rPr>
          <w:rFonts w:hint="eastAsia" w:ascii="Times New Roman" w:hAnsi="Times New Roman" w:cs="Times New Roman"/>
          <w:sz w:val="32"/>
          <w:szCs w:val="32"/>
        </w:rPr>
        <w:t>2057.75</w:t>
      </w:r>
      <w:r>
        <w:rPr>
          <w:rFonts w:hint="eastAsia"/>
          <w:sz w:val="32"/>
          <w:szCs w:val="32"/>
        </w:rPr>
        <w:t>万元，与年初预算相比增加</w:t>
      </w:r>
      <w:r>
        <w:rPr>
          <w:rFonts w:hint="eastAsia" w:ascii="Times New Roman" w:hAnsi="Times New Roman" w:cs="Times New Roman"/>
          <w:sz w:val="32"/>
          <w:szCs w:val="32"/>
        </w:rPr>
        <w:t>735.72</w:t>
      </w:r>
      <w:r>
        <w:rPr>
          <w:rFonts w:hint="eastAsia"/>
          <w:sz w:val="32"/>
          <w:szCs w:val="32"/>
        </w:rPr>
        <w:t>万元。其中：</w:t>
      </w:r>
    </w:p>
    <w:p>
      <w:pPr>
        <w:spacing w:before="100" w:beforeAutospacing="1" w:after="100" w:afterAutospacing="1" w:line="560" w:lineRule="atLeast"/>
        <w:ind w:firstLine="640"/>
        <w:jc w:val="both"/>
      </w:pPr>
      <w:r>
        <w:rPr>
          <w:rFonts w:hint="eastAsia" w:ascii="Times New Roman" w:hAnsi="Times New Roman" w:cs="Times New Roman"/>
          <w:sz w:val="32"/>
          <w:szCs w:val="32"/>
        </w:rPr>
        <w:t>1</w:t>
      </w:r>
      <w:r>
        <w:rPr>
          <w:rFonts w:hint="eastAsia"/>
          <w:sz w:val="32"/>
          <w:szCs w:val="32"/>
        </w:rPr>
        <w:t>．行政事业单位养老支出（款）事业单位离退休（项）。年初预算</w:t>
      </w:r>
      <w:r>
        <w:rPr>
          <w:rFonts w:hint="eastAsia" w:ascii="Times New Roman" w:hAnsi="Times New Roman" w:cs="Times New Roman"/>
          <w:sz w:val="32"/>
          <w:szCs w:val="32"/>
        </w:rPr>
        <w:t>512.48</w:t>
      </w:r>
      <w:r>
        <w:rPr>
          <w:rFonts w:hint="eastAsia"/>
          <w:sz w:val="32"/>
          <w:szCs w:val="32"/>
        </w:rPr>
        <w:t>万元，支出决算</w:t>
      </w:r>
      <w:r>
        <w:rPr>
          <w:rFonts w:hint="eastAsia" w:ascii="Times New Roman" w:hAnsi="Times New Roman" w:cs="Times New Roman"/>
          <w:sz w:val="32"/>
          <w:szCs w:val="32"/>
        </w:rPr>
        <w:t>975.41</w:t>
      </w:r>
      <w:r>
        <w:rPr>
          <w:rFonts w:hint="eastAsia"/>
          <w:sz w:val="32"/>
          <w:szCs w:val="32"/>
        </w:rPr>
        <w:t>万元，完成年初预算的</w:t>
      </w:r>
      <w:r>
        <w:rPr>
          <w:rFonts w:hint="eastAsia" w:ascii="Times New Roman" w:hAnsi="Times New Roman" w:cs="Times New Roman"/>
          <w:sz w:val="32"/>
          <w:szCs w:val="32"/>
        </w:rPr>
        <w:t>190.33</w:t>
      </w:r>
      <w:r>
        <w:rPr>
          <w:rFonts w:hint="eastAsia"/>
          <w:sz w:val="32"/>
          <w:szCs w:val="32"/>
        </w:rPr>
        <w:t>%。决算数与年初预算数的差异原因：本年补发离退休人员基础绩效奖，导致金额较大。</w:t>
      </w:r>
    </w:p>
    <w:p>
      <w:pPr>
        <w:spacing w:before="100" w:beforeAutospacing="1" w:after="100" w:afterAutospacing="1" w:line="560" w:lineRule="atLeast"/>
        <w:ind w:firstLine="640"/>
        <w:jc w:val="both"/>
      </w:pPr>
      <w:r>
        <w:rPr>
          <w:rFonts w:hint="eastAsia" w:ascii="Times New Roman" w:hAnsi="Times New Roman" w:cs="Times New Roman"/>
          <w:sz w:val="32"/>
          <w:szCs w:val="32"/>
        </w:rPr>
        <w:t>2</w:t>
      </w:r>
      <w:r>
        <w:rPr>
          <w:rFonts w:hint="eastAsia"/>
          <w:sz w:val="32"/>
          <w:szCs w:val="32"/>
        </w:rPr>
        <w:t>．行政事业单位养老支出（款）机关事业单位基本养老保险缴费支出（项）。年初预算</w:t>
      </w:r>
      <w:r>
        <w:rPr>
          <w:rFonts w:hint="eastAsia" w:ascii="Times New Roman" w:hAnsi="Times New Roman" w:cs="Times New Roman"/>
          <w:sz w:val="32"/>
          <w:szCs w:val="32"/>
        </w:rPr>
        <w:t>809.54</w:t>
      </w:r>
      <w:r>
        <w:rPr>
          <w:rFonts w:hint="eastAsia"/>
          <w:sz w:val="32"/>
          <w:szCs w:val="32"/>
        </w:rPr>
        <w:t>万元，支出决算</w:t>
      </w:r>
      <w:r>
        <w:rPr>
          <w:rFonts w:hint="eastAsia" w:ascii="Times New Roman" w:hAnsi="Times New Roman" w:cs="Times New Roman"/>
          <w:sz w:val="32"/>
          <w:szCs w:val="32"/>
        </w:rPr>
        <w:t>823.50</w:t>
      </w:r>
      <w:r>
        <w:rPr>
          <w:rFonts w:hint="eastAsia"/>
          <w:sz w:val="32"/>
          <w:szCs w:val="32"/>
        </w:rPr>
        <w:t>万元，完成年初预算的</w:t>
      </w:r>
      <w:r>
        <w:rPr>
          <w:rFonts w:hint="eastAsia" w:ascii="Times New Roman" w:hAnsi="Times New Roman" w:cs="Times New Roman"/>
          <w:sz w:val="32"/>
          <w:szCs w:val="32"/>
        </w:rPr>
        <w:t>101.72</w:t>
      </w:r>
      <w:r>
        <w:rPr>
          <w:rFonts w:hint="eastAsia"/>
          <w:sz w:val="32"/>
          <w:szCs w:val="32"/>
        </w:rPr>
        <w:t>%。决算数与年初预算数的差异原因：学院人员正常变动，导致该项支出略有差异。</w:t>
      </w:r>
    </w:p>
    <w:p>
      <w:pPr>
        <w:spacing w:before="100" w:beforeAutospacing="1" w:after="100" w:afterAutospacing="1" w:line="560" w:lineRule="atLeast"/>
        <w:ind w:firstLine="640"/>
        <w:jc w:val="both"/>
        <w:rPr>
          <w:sz w:val="32"/>
          <w:szCs w:val="32"/>
        </w:rPr>
      </w:pPr>
      <w:r>
        <w:rPr>
          <w:rFonts w:hint="eastAsia" w:ascii="Times New Roman" w:hAnsi="Times New Roman" w:cs="Times New Roman"/>
          <w:sz w:val="32"/>
          <w:szCs w:val="32"/>
        </w:rPr>
        <w:t>3</w:t>
      </w:r>
      <w:r>
        <w:rPr>
          <w:rFonts w:hint="eastAsia"/>
          <w:sz w:val="32"/>
          <w:szCs w:val="32"/>
        </w:rPr>
        <w:t>．行政事业单位养老支出（款）机关事业单位职业年金缴费支出（项）。年初预算</w:t>
      </w:r>
      <w:r>
        <w:rPr>
          <w:rFonts w:hint="eastAsia" w:ascii="Times New Roman" w:hAnsi="Times New Roman" w:cs="Times New Roman"/>
          <w:sz w:val="32"/>
          <w:szCs w:val="32"/>
        </w:rPr>
        <w:t>0</w:t>
      </w:r>
      <w:r>
        <w:rPr>
          <w:rFonts w:hint="eastAsia"/>
          <w:sz w:val="32"/>
          <w:szCs w:val="32"/>
        </w:rPr>
        <w:t>万元，支出决算</w:t>
      </w:r>
      <w:r>
        <w:rPr>
          <w:rFonts w:hint="eastAsia" w:ascii="Times New Roman" w:hAnsi="Times New Roman" w:cs="Times New Roman"/>
          <w:sz w:val="32"/>
          <w:szCs w:val="32"/>
        </w:rPr>
        <w:t>113.39</w:t>
      </w:r>
      <w:r>
        <w:rPr>
          <w:rFonts w:hint="eastAsia"/>
          <w:sz w:val="32"/>
          <w:szCs w:val="32"/>
        </w:rPr>
        <w:t>万元。决算数与年初预算数的差异原因：机关事业单位职业年金缴费支出不列入本年预算。</w:t>
      </w:r>
    </w:p>
    <w:p>
      <w:pPr>
        <w:spacing w:before="100" w:beforeAutospacing="1" w:after="100" w:afterAutospacing="1" w:line="560" w:lineRule="atLeast"/>
        <w:ind w:firstLine="640"/>
        <w:jc w:val="both"/>
        <w:rPr>
          <w:sz w:val="32"/>
          <w:szCs w:val="32"/>
        </w:rPr>
      </w:pPr>
      <w:r>
        <w:rPr>
          <w:rFonts w:hint="eastAsia"/>
          <w:sz w:val="32"/>
          <w:szCs w:val="32"/>
        </w:rPr>
        <w:t>4.就业补助（款）高技能人才培养补助（项）。年初预算10</w:t>
      </w:r>
      <w:r>
        <w:rPr>
          <w:rFonts w:hint="eastAsia" w:ascii="Times New Roman" w:hAnsi="Times New Roman" w:cs="Times New Roman"/>
          <w:sz w:val="32"/>
          <w:szCs w:val="32"/>
        </w:rPr>
        <w:t>0</w:t>
      </w:r>
      <w:r>
        <w:rPr>
          <w:rFonts w:hint="eastAsia"/>
          <w:sz w:val="32"/>
          <w:szCs w:val="32"/>
        </w:rPr>
        <w:t>万元，支出决算</w:t>
      </w:r>
      <w:r>
        <w:rPr>
          <w:rFonts w:hint="eastAsia" w:ascii="Times New Roman" w:hAnsi="Times New Roman" w:cs="Times New Roman"/>
          <w:sz w:val="32"/>
          <w:szCs w:val="32"/>
        </w:rPr>
        <w:t>100</w:t>
      </w:r>
      <w:r>
        <w:rPr>
          <w:rFonts w:hint="eastAsia"/>
          <w:sz w:val="32"/>
          <w:szCs w:val="32"/>
        </w:rPr>
        <w:t>万元。</w:t>
      </w:r>
    </w:p>
    <w:p>
      <w:pPr>
        <w:spacing w:before="100" w:beforeAutospacing="1" w:after="100" w:afterAutospacing="1" w:line="560" w:lineRule="atLeast"/>
        <w:ind w:firstLine="643"/>
        <w:jc w:val="both"/>
      </w:pPr>
      <w:r>
        <w:rPr>
          <w:rFonts w:hint="eastAsia" w:ascii="楷体" w:hAnsi="楷体" w:eastAsia="楷体"/>
          <w:b/>
          <w:bCs/>
          <w:sz w:val="32"/>
          <w:szCs w:val="32"/>
        </w:rPr>
        <w:t>（三）卫生健康支出（类）</w:t>
      </w:r>
    </w:p>
    <w:p>
      <w:pPr>
        <w:spacing w:before="100" w:beforeAutospacing="1" w:after="100" w:afterAutospacing="1" w:line="560" w:lineRule="atLeast"/>
        <w:ind w:firstLine="640"/>
        <w:jc w:val="both"/>
      </w:pPr>
      <w:r>
        <w:rPr>
          <w:rFonts w:hint="eastAsia"/>
          <w:sz w:val="32"/>
          <w:szCs w:val="32"/>
        </w:rPr>
        <w:t>卫生健康支出类决算数为</w:t>
      </w:r>
      <w:r>
        <w:rPr>
          <w:rFonts w:hint="eastAsia" w:ascii="Times New Roman" w:hAnsi="Times New Roman" w:cs="Times New Roman"/>
          <w:sz w:val="32"/>
          <w:szCs w:val="32"/>
        </w:rPr>
        <w:t>889.72</w:t>
      </w:r>
      <w:r>
        <w:rPr>
          <w:rFonts w:hint="eastAsia"/>
          <w:sz w:val="32"/>
          <w:szCs w:val="32"/>
        </w:rPr>
        <w:t>万元，与年初预算相比增加</w:t>
      </w:r>
      <w:r>
        <w:rPr>
          <w:rFonts w:hint="eastAsia" w:ascii="Times New Roman" w:hAnsi="Times New Roman" w:cs="Times New Roman"/>
          <w:sz w:val="32"/>
          <w:szCs w:val="32"/>
        </w:rPr>
        <w:t>117</w:t>
      </w:r>
      <w:r>
        <w:rPr>
          <w:rFonts w:hint="eastAsia"/>
          <w:sz w:val="32"/>
          <w:szCs w:val="32"/>
        </w:rPr>
        <w:t>万元。其中：</w:t>
      </w:r>
    </w:p>
    <w:p>
      <w:pPr>
        <w:spacing w:before="100" w:beforeAutospacing="1" w:after="100" w:afterAutospacing="1" w:line="560" w:lineRule="atLeast"/>
        <w:ind w:firstLine="640"/>
        <w:jc w:val="both"/>
      </w:pPr>
      <w:r>
        <w:rPr>
          <w:rFonts w:hint="eastAsia" w:ascii="Times New Roman" w:hAnsi="Times New Roman" w:cs="Times New Roman"/>
          <w:sz w:val="32"/>
          <w:szCs w:val="32"/>
        </w:rPr>
        <w:t>1</w:t>
      </w:r>
      <w:r>
        <w:rPr>
          <w:rFonts w:hint="eastAsia"/>
          <w:sz w:val="32"/>
          <w:szCs w:val="32"/>
        </w:rPr>
        <w:t>．行政事业单位医疗（款）事业单位医疗（项）。年初预算</w:t>
      </w:r>
      <w:r>
        <w:rPr>
          <w:rFonts w:hint="eastAsia" w:ascii="Times New Roman" w:hAnsi="Times New Roman" w:cs="Times New Roman"/>
          <w:sz w:val="32"/>
          <w:szCs w:val="32"/>
        </w:rPr>
        <w:t>503.41</w:t>
      </w:r>
      <w:r>
        <w:rPr>
          <w:rFonts w:hint="eastAsia"/>
          <w:sz w:val="32"/>
          <w:szCs w:val="32"/>
        </w:rPr>
        <w:t>万元，支出决算</w:t>
      </w:r>
      <w:r>
        <w:rPr>
          <w:rFonts w:hint="eastAsia" w:ascii="Times New Roman" w:hAnsi="Times New Roman" w:cs="Times New Roman"/>
          <w:sz w:val="32"/>
          <w:szCs w:val="32"/>
        </w:rPr>
        <w:t>579.56</w:t>
      </w:r>
      <w:r>
        <w:rPr>
          <w:rFonts w:hint="eastAsia"/>
          <w:sz w:val="32"/>
          <w:szCs w:val="32"/>
        </w:rPr>
        <w:t>万元，完成年初预算的</w:t>
      </w:r>
      <w:r>
        <w:rPr>
          <w:rFonts w:hint="eastAsia" w:ascii="Times New Roman" w:hAnsi="Times New Roman" w:cs="Times New Roman"/>
          <w:sz w:val="32"/>
          <w:szCs w:val="32"/>
        </w:rPr>
        <w:t>115.13</w:t>
      </w:r>
      <w:r>
        <w:rPr>
          <w:rFonts w:hint="eastAsia"/>
          <w:sz w:val="32"/>
          <w:szCs w:val="32"/>
        </w:rPr>
        <w:t>%。决算数与年初预算数的差异原因：学院人员正常变动。</w:t>
      </w:r>
    </w:p>
    <w:p>
      <w:pPr>
        <w:spacing w:before="100" w:beforeAutospacing="1" w:after="100" w:afterAutospacing="1" w:line="560" w:lineRule="atLeast"/>
        <w:ind w:firstLine="640"/>
        <w:jc w:val="both"/>
      </w:pPr>
      <w:r>
        <w:rPr>
          <w:rFonts w:hint="eastAsia" w:ascii="Times New Roman" w:hAnsi="Times New Roman" w:cs="Times New Roman"/>
          <w:sz w:val="32"/>
          <w:szCs w:val="32"/>
        </w:rPr>
        <w:t>2</w:t>
      </w:r>
      <w:r>
        <w:rPr>
          <w:rFonts w:hint="eastAsia"/>
          <w:sz w:val="32"/>
          <w:szCs w:val="32"/>
        </w:rPr>
        <w:t>．行政事业单位医疗（款）公务员医疗补助（项）。年初预算</w:t>
      </w:r>
      <w:r>
        <w:rPr>
          <w:rFonts w:hint="eastAsia" w:ascii="Times New Roman" w:hAnsi="Times New Roman" w:cs="Times New Roman"/>
          <w:sz w:val="32"/>
          <w:szCs w:val="32"/>
        </w:rPr>
        <w:t>269.32</w:t>
      </w:r>
      <w:r>
        <w:rPr>
          <w:rFonts w:hint="eastAsia"/>
          <w:sz w:val="32"/>
          <w:szCs w:val="32"/>
        </w:rPr>
        <w:t>万元，支出决算</w:t>
      </w:r>
      <w:r>
        <w:rPr>
          <w:rFonts w:hint="eastAsia" w:ascii="Times New Roman" w:hAnsi="Times New Roman" w:cs="Times New Roman"/>
          <w:sz w:val="32"/>
          <w:szCs w:val="32"/>
        </w:rPr>
        <w:t>310.16</w:t>
      </w:r>
      <w:r>
        <w:rPr>
          <w:rFonts w:hint="eastAsia"/>
          <w:sz w:val="32"/>
          <w:szCs w:val="32"/>
        </w:rPr>
        <w:t>万元，完成年初预算的</w:t>
      </w:r>
      <w:r>
        <w:rPr>
          <w:rFonts w:hint="eastAsia" w:ascii="Times New Roman" w:hAnsi="Times New Roman" w:cs="Times New Roman"/>
          <w:sz w:val="32"/>
          <w:szCs w:val="32"/>
        </w:rPr>
        <w:t>115.16</w:t>
      </w:r>
      <w:r>
        <w:rPr>
          <w:rFonts w:hint="eastAsia"/>
          <w:sz w:val="32"/>
          <w:szCs w:val="32"/>
        </w:rPr>
        <w:t>%。决算数与年初预算数的差异原因：学院人员正常变动。</w:t>
      </w:r>
    </w:p>
    <w:p>
      <w:pPr>
        <w:spacing w:before="100" w:beforeAutospacing="1" w:after="100" w:afterAutospacing="1" w:line="560" w:lineRule="atLeast"/>
        <w:ind w:firstLine="643"/>
        <w:jc w:val="both"/>
      </w:pPr>
      <w:r>
        <w:rPr>
          <w:rFonts w:hint="eastAsia" w:ascii="楷体" w:hAnsi="楷体" w:eastAsia="楷体"/>
          <w:b/>
          <w:bCs/>
          <w:sz w:val="32"/>
          <w:szCs w:val="32"/>
        </w:rPr>
        <w:t>（四）住房保障支出（类）</w:t>
      </w:r>
    </w:p>
    <w:p>
      <w:pPr>
        <w:spacing w:before="100" w:beforeAutospacing="1" w:after="100" w:afterAutospacing="1" w:line="560" w:lineRule="atLeast"/>
        <w:ind w:firstLine="640"/>
        <w:jc w:val="both"/>
      </w:pPr>
      <w:r>
        <w:rPr>
          <w:rFonts w:hint="eastAsia"/>
          <w:sz w:val="32"/>
          <w:szCs w:val="32"/>
        </w:rPr>
        <w:t>住房保障支出类决算数为</w:t>
      </w:r>
      <w:r>
        <w:rPr>
          <w:rFonts w:hint="eastAsia" w:ascii="Times New Roman" w:hAnsi="Times New Roman" w:cs="Times New Roman"/>
          <w:sz w:val="32"/>
          <w:szCs w:val="32"/>
        </w:rPr>
        <w:t>716.09</w:t>
      </w:r>
      <w:r>
        <w:rPr>
          <w:rFonts w:hint="eastAsia"/>
          <w:sz w:val="32"/>
          <w:szCs w:val="32"/>
        </w:rPr>
        <w:t>万元，与年初预算相比增加</w:t>
      </w:r>
      <w:r>
        <w:rPr>
          <w:rFonts w:hint="eastAsia" w:ascii="Times New Roman" w:hAnsi="Times New Roman" w:cs="Times New Roman"/>
          <w:sz w:val="32"/>
          <w:szCs w:val="32"/>
        </w:rPr>
        <w:t>5.48</w:t>
      </w:r>
      <w:r>
        <w:rPr>
          <w:rFonts w:hint="eastAsia"/>
          <w:sz w:val="32"/>
          <w:szCs w:val="32"/>
        </w:rPr>
        <w:t>万元。其中：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．住房改革支出（款）住房公积金（项）。年初预算</w:t>
      </w:r>
      <w:r>
        <w:rPr>
          <w:rFonts w:hint="eastAsia" w:ascii="Times New Roman" w:hAnsi="Times New Roman" w:cs="Times New Roman"/>
          <w:sz w:val="32"/>
          <w:szCs w:val="32"/>
        </w:rPr>
        <w:t>710.10</w:t>
      </w:r>
      <w:r>
        <w:rPr>
          <w:rFonts w:hint="eastAsia"/>
          <w:sz w:val="32"/>
          <w:szCs w:val="32"/>
        </w:rPr>
        <w:t>万元，支出决算</w:t>
      </w:r>
      <w:r>
        <w:rPr>
          <w:rFonts w:hint="eastAsia" w:ascii="Times New Roman" w:hAnsi="Times New Roman" w:cs="Times New Roman"/>
          <w:sz w:val="32"/>
          <w:szCs w:val="32"/>
        </w:rPr>
        <w:t>715.58</w:t>
      </w:r>
      <w:r>
        <w:rPr>
          <w:rFonts w:hint="eastAsia"/>
          <w:sz w:val="32"/>
          <w:szCs w:val="32"/>
        </w:rPr>
        <w:t>万元，完成年初预算的</w:t>
      </w:r>
      <w:r>
        <w:rPr>
          <w:rFonts w:hint="eastAsia" w:ascii="Times New Roman" w:hAnsi="Times New Roman" w:cs="Times New Roman"/>
          <w:sz w:val="32"/>
          <w:szCs w:val="32"/>
        </w:rPr>
        <w:t>100.77</w:t>
      </w:r>
      <w:r>
        <w:rPr>
          <w:rFonts w:hint="eastAsia"/>
          <w:sz w:val="32"/>
          <w:szCs w:val="32"/>
        </w:rPr>
        <w:t>%。决算数与年初预算数的差异原因：学院人员正常变动。</w:t>
      </w:r>
    </w:p>
    <w:p>
      <w:pPr>
        <w:spacing w:before="100" w:beforeAutospacing="1" w:after="100" w:afterAutospacing="1" w:line="560" w:lineRule="atLeast"/>
        <w:ind w:firstLine="640"/>
        <w:jc w:val="both"/>
      </w:pPr>
      <w:r>
        <w:rPr>
          <w:rFonts w:hint="eastAsia" w:ascii="Times New Roman" w:hAnsi="Times New Roman" w:cs="Times New Roman"/>
          <w:sz w:val="32"/>
          <w:szCs w:val="32"/>
        </w:rPr>
        <w:t>2</w:t>
      </w:r>
      <w:r>
        <w:rPr>
          <w:rFonts w:hint="eastAsia"/>
          <w:sz w:val="32"/>
          <w:szCs w:val="32"/>
        </w:rPr>
        <w:t>．住房改革支出（款）购房补贴（项）。年初预算</w:t>
      </w:r>
      <w:r>
        <w:rPr>
          <w:rFonts w:hint="eastAsia" w:ascii="Times New Roman" w:hAnsi="Times New Roman" w:cs="Times New Roman"/>
          <w:sz w:val="32"/>
          <w:szCs w:val="32"/>
        </w:rPr>
        <w:t>0.51</w:t>
      </w:r>
      <w:r>
        <w:rPr>
          <w:rFonts w:hint="eastAsia"/>
          <w:sz w:val="32"/>
          <w:szCs w:val="32"/>
        </w:rPr>
        <w:t>万元，支出决算</w:t>
      </w:r>
      <w:r>
        <w:rPr>
          <w:rFonts w:hint="eastAsia" w:ascii="Times New Roman" w:hAnsi="Times New Roman" w:cs="Times New Roman"/>
          <w:sz w:val="32"/>
          <w:szCs w:val="32"/>
        </w:rPr>
        <w:t>0.51</w:t>
      </w:r>
      <w:r>
        <w:rPr>
          <w:rFonts w:hint="eastAsia"/>
          <w:sz w:val="32"/>
          <w:szCs w:val="32"/>
        </w:rPr>
        <w:t>万元，完成年初预算的</w:t>
      </w:r>
      <w:r>
        <w:rPr>
          <w:rFonts w:hint="eastAsia" w:ascii="Times New Roman" w:hAnsi="Times New Roman" w:cs="Times New Roman"/>
          <w:sz w:val="32"/>
          <w:szCs w:val="32"/>
        </w:rPr>
        <w:t>100</w:t>
      </w:r>
      <w:r>
        <w:rPr>
          <w:rFonts w:hint="eastAsia"/>
          <w:sz w:val="32"/>
          <w:szCs w:val="32"/>
        </w:rPr>
        <w:t>%。</w:t>
      </w:r>
    </w:p>
    <w:p>
      <w:pPr>
        <w:spacing w:before="100" w:beforeAutospacing="1" w:after="100" w:afterAutospacing="1" w:line="600" w:lineRule="atLeast"/>
        <w:ind w:firstLine="643"/>
        <w:jc w:val="both"/>
      </w:pPr>
      <w:r>
        <w:rPr>
          <w:rFonts w:hint="eastAsia" w:ascii="黑体" w:hAnsi="黑体" w:eastAsia="黑体"/>
          <w:b/>
          <w:bCs/>
          <w:sz w:val="32"/>
          <w:szCs w:val="32"/>
        </w:rPr>
        <w:t>六、一般公共预算基本支出决算情况说明</w:t>
      </w:r>
    </w:p>
    <w:p>
      <w:pPr>
        <w:spacing w:before="100" w:beforeAutospacing="1" w:after="100" w:afterAutospacing="1" w:line="560" w:lineRule="atLeast"/>
        <w:ind w:firstLine="640"/>
        <w:jc w:val="both"/>
      </w:pPr>
      <w:r>
        <w:rPr>
          <w:rFonts w:hint="eastAsia"/>
          <w:sz w:val="32"/>
          <w:szCs w:val="32"/>
        </w:rPr>
        <w:t>呼伦贝尔职业技术学院部门2022年度一般公共预算财政拨款基本支出决算</w:t>
      </w:r>
      <w:r>
        <w:rPr>
          <w:rFonts w:hint="eastAsia" w:ascii="Times New Roman" w:hAnsi="Times New Roman" w:cs="Times New Roman"/>
          <w:sz w:val="32"/>
          <w:szCs w:val="32"/>
        </w:rPr>
        <w:t>13748.03</w:t>
      </w:r>
      <w:r>
        <w:rPr>
          <w:rFonts w:hint="eastAsia"/>
          <w:sz w:val="32"/>
          <w:szCs w:val="32"/>
        </w:rPr>
        <w:t>万元，其中：</w:t>
      </w:r>
    </w:p>
    <w:p>
      <w:pPr>
        <w:spacing w:before="100" w:beforeAutospacing="1" w:after="100" w:afterAutospacing="1" w:line="560" w:lineRule="atLeast"/>
        <w:ind w:firstLine="643"/>
        <w:jc w:val="both"/>
      </w:pPr>
      <w:r>
        <w:rPr>
          <w:rFonts w:hint="eastAsia"/>
          <w:b/>
          <w:bCs/>
          <w:sz w:val="32"/>
          <w:szCs w:val="32"/>
        </w:rPr>
        <w:t>（一）人员经费</w:t>
      </w:r>
      <w:r>
        <w:rPr>
          <w:rFonts w:hint="eastAsia" w:ascii="Times New Roman" w:hAnsi="Times New Roman" w:cs="Times New Roman"/>
          <w:b/>
          <w:bCs/>
          <w:sz w:val="32"/>
          <w:szCs w:val="32"/>
        </w:rPr>
        <w:t>12027.20</w:t>
      </w:r>
      <w:r>
        <w:rPr>
          <w:rFonts w:hint="eastAsia"/>
          <w:b/>
          <w:bCs/>
          <w:sz w:val="32"/>
          <w:szCs w:val="32"/>
        </w:rPr>
        <w:t>万元</w:t>
      </w:r>
      <w:r>
        <w:rPr>
          <w:rFonts w:hint="eastAsia"/>
          <w:sz w:val="32"/>
          <w:szCs w:val="32"/>
        </w:rPr>
        <w:t>。主要包括：基本工资4754.02万元、津贴补贴1515.66万元、奖金18.15万元、绩效工资128.90万元、机关事业单位基本养老保险缴费823.50万元、职业年金缴费166.22万元、职工基本医疗保险缴费579.56万元、公务员医疗补助缴费310.16万元、其他社会保障缴费102.54万元、住房公积金770.88万元、医疗费44.42万元、其他工资福利支出513.46万元、离休费29.50万元、退休费918.75万元、抚恤金27.66万元、生活补助48.87万元、助学金1274.94万元。</w:t>
      </w:r>
    </w:p>
    <w:p>
      <w:pPr>
        <w:spacing w:before="100" w:beforeAutospacing="1" w:after="100" w:afterAutospacing="1" w:line="560" w:lineRule="atLeast"/>
        <w:ind w:firstLine="643"/>
        <w:jc w:val="both"/>
      </w:pPr>
      <w:r>
        <w:rPr>
          <w:rFonts w:hint="eastAsia"/>
          <w:b/>
          <w:bCs/>
          <w:sz w:val="32"/>
          <w:szCs w:val="32"/>
        </w:rPr>
        <w:t>（二）公用经费</w:t>
      </w:r>
      <w:r>
        <w:rPr>
          <w:rFonts w:hint="eastAsia" w:ascii="Times New Roman" w:hAnsi="Times New Roman" w:cs="Times New Roman"/>
          <w:b/>
          <w:bCs/>
          <w:sz w:val="32"/>
          <w:szCs w:val="32"/>
        </w:rPr>
        <w:t>1720.83</w:t>
      </w:r>
      <w:r>
        <w:rPr>
          <w:rFonts w:hint="eastAsia"/>
          <w:b/>
          <w:bCs/>
          <w:sz w:val="32"/>
          <w:szCs w:val="32"/>
        </w:rPr>
        <w:t>万元</w:t>
      </w:r>
      <w:r>
        <w:rPr>
          <w:rFonts w:hint="eastAsia"/>
          <w:sz w:val="32"/>
          <w:szCs w:val="32"/>
        </w:rPr>
        <w:t>。主要包括：办公费13.69万元、印刷费18.89万元、咨询费15.71万元、电费83.82万元、邮电费37.77万元、取暖费535.68万元、差旅费36.76万元、维修（护）费88.94万元、租赁费1.28万元、会议费1.38万元、培训费12.85万元、公务接待费6.29万元、专用材料费125.13万元、劳务费144.58万元、委托业务费299.70万元、工会经费70.95万元、公务用车运行维护费27.11万元、其他交通费用4.39万元、其他商品和服务支出195.52万元、专用设备购置0.39万元。</w:t>
      </w:r>
    </w:p>
    <w:p>
      <w:pPr>
        <w:spacing w:before="100" w:beforeAutospacing="1" w:after="100" w:afterAutospacing="1" w:line="600" w:lineRule="atLeast"/>
        <w:ind w:firstLine="643"/>
        <w:jc w:val="both"/>
      </w:pPr>
      <w:r>
        <w:rPr>
          <w:rFonts w:hint="eastAsia" w:ascii="黑体" w:hAnsi="黑体" w:eastAsia="黑体"/>
          <w:b/>
          <w:bCs/>
          <w:color w:val="000000"/>
          <w:sz w:val="32"/>
          <w:szCs w:val="32"/>
        </w:rPr>
        <w:t>七、一般公共预算项目支出决算情况说明</w:t>
      </w:r>
    </w:p>
    <w:p>
      <w:pPr>
        <w:spacing w:before="100" w:beforeAutospacing="1" w:after="100" w:afterAutospacing="1" w:line="560" w:lineRule="atLeast"/>
        <w:ind w:firstLine="640"/>
        <w:jc w:val="both"/>
      </w:pPr>
      <w:r>
        <w:rPr>
          <w:rFonts w:hint="eastAsia"/>
          <w:sz w:val="32"/>
          <w:szCs w:val="32"/>
        </w:rPr>
        <w:t>呼伦贝尔职业技术学院部门2022年度一般公共预算财政拨款项目支出决算</w:t>
      </w:r>
      <w:r>
        <w:rPr>
          <w:rFonts w:hint="eastAsia" w:ascii="Times New Roman" w:hAnsi="Times New Roman" w:cs="Times New Roman"/>
          <w:sz w:val="32"/>
          <w:szCs w:val="32"/>
        </w:rPr>
        <w:t>2757.59</w:t>
      </w:r>
      <w:r>
        <w:rPr>
          <w:rFonts w:hint="eastAsia"/>
          <w:sz w:val="32"/>
          <w:szCs w:val="32"/>
        </w:rPr>
        <w:t>万元，其中：</w:t>
      </w:r>
    </w:p>
    <w:p>
      <w:pPr>
        <w:spacing w:before="100" w:beforeAutospacing="1" w:after="100" w:afterAutospacing="1" w:line="560" w:lineRule="atLeast"/>
        <w:ind w:firstLine="643"/>
        <w:jc w:val="both"/>
      </w:pPr>
      <w:r>
        <w:rPr>
          <w:rFonts w:hint="eastAsia"/>
          <w:b/>
          <w:bCs/>
          <w:color w:val="000000"/>
          <w:sz w:val="32"/>
          <w:szCs w:val="32"/>
        </w:rPr>
        <w:t>（一）工资福利支出</w:t>
      </w:r>
      <w:r>
        <w:rPr>
          <w:rFonts w:hint="eastAsia" w:ascii="Times New Roman" w:hAnsi="Times New Roman" w:cs="Times New Roman"/>
          <w:b/>
          <w:bCs/>
          <w:color w:val="000000"/>
          <w:sz w:val="32"/>
          <w:szCs w:val="32"/>
        </w:rPr>
        <w:t>0</w:t>
      </w:r>
      <w:r>
        <w:rPr>
          <w:rFonts w:hint="eastAsia"/>
          <w:b/>
          <w:bCs/>
          <w:color w:val="000000"/>
          <w:sz w:val="32"/>
          <w:szCs w:val="32"/>
        </w:rPr>
        <w:t>万元</w:t>
      </w:r>
      <w:r>
        <w:rPr>
          <w:rFonts w:hint="eastAsia"/>
          <w:color w:val="000000"/>
          <w:sz w:val="32"/>
          <w:szCs w:val="32"/>
        </w:rPr>
        <w:t>。</w:t>
      </w:r>
    </w:p>
    <w:p>
      <w:pPr>
        <w:spacing w:before="100" w:beforeAutospacing="1" w:after="100" w:afterAutospacing="1" w:line="560" w:lineRule="atLeast"/>
        <w:ind w:firstLine="643"/>
        <w:jc w:val="both"/>
        <w:rPr>
          <w:color w:val="000000"/>
          <w:sz w:val="32"/>
          <w:szCs w:val="32"/>
        </w:rPr>
      </w:pPr>
      <w:r>
        <w:rPr>
          <w:rFonts w:hint="eastAsia"/>
          <w:b/>
          <w:bCs/>
          <w:color w:val="000000"/>
          <w:sz w:val="32"/>
          <w:szCs w:val="32"/>
        </w:rPr>
        <w:t>（二）商品和服务支出</w:t>
      </w:r>
      <w:r>
        <w:rPr>
          <w:rFonts w:hint="eastAsia" w:ascii="Times New Roman" w:hAnsi="Times New Roman" w:cs="Times New Roman"/>
          <w:b/>
          <w:bCs/>
          <w:color w:val="000000"/>
          <w:sz w:val="32"/>
          <w:szCs w:val="32"/>
        </w:rPr>
        <w:t>195.98</w:t>
      </w:r>
      <w:r>
        <w:rPr>
          <w:rFonts w:hint="eastAsia"/>
          <w:b/>
          <w:bCs/>
          <w:color w:val="000000"/>
          <w:sz w:val="32"/>
          <w:szCs w:val="32"/>
        </w:rPr>
        <w:t>万元</w:t>
      </w:r>
      <w:r>
        <w:rPr>
          <w:rFonts w:hint="eastAsia"/>
          <w:color w:val="000000"/>
          <w:sz w:val="32"/>
          <w:szCs w:val="32"/>
        </w:rPr>
        <w:t>。主要包括：办公费0.15万元、印刷费1.96万元、邮电费34.09万元、物业管理费94.40万元、差旅费10.17万元、培训费2.08万元、专用材料费44.65万元、委托业务费7.30万元、其他商品和服务支出1.19万元。</w:t>
      </w:r>
    </w:p>
    <w:p>
      <w:pPr>
        <w:spacing w:before="100" w:beforeAutospacing="1" w:after="100" w:afterAutospacing="1" w:line="560" w:lineRule="atLeast"/>
        <w:ind w:firstLine="643"/>
        <w:jc w:val="both"/>
        <w:rPr>
          <w:rFonts w:hint="eastAsia"/>
          <w:color w:val="000000"/>
          <w:sz w:val="32"/>
          <w:szCs w:val="32"/>
          <w:lang w:val="en-US" w:eastAsia="zh-CN"/>
        </w:rPr>
      </w:pPr>
      <w:r>
        <w:rPr>
          <w:rFonts w:hint="eastAsia"/>
          <w:b/>
          <w:bCs/>
          <w:color w:val="000000"/>
          <w:sz w:val="32"/>
          <w:szCs w:val="32"/>
        </w:rPr>
        <w:t>（三）资本性支出</w:t>
      </w:r>
      <w:r>
        <w:rPr>
          <w:rFonts w:hint="eastAsia"/>
          <w:b/>
          <w:bCs/>
          <w:color w:val="000000"/>
          <w:sz w:val="32"/>
          <w:szCs w:val="32"/>
          <w:lang w:eastAsia="zh-CN"/>
        </w:rPr>
        <w:t>（</w:t>
      </w:r>
      <w:r>
        <w:rPr>
          <w:rFonts w:hint="eastAsia"/>
          <w:b/>
          <w:bCs/>
          <w:color w:val="000000"/>
          <w:sz w:val="32"/>
          <w:szCs w:val="32"/>
          <w:lang w:val="en-US" w:eastAsia="zh-CN"/>
        </w:rPr>
        <w:t>基本建设</w:t>
      </w:r>
      <w:r>
        <w:rPr>
          <w:rFonts w:hint="eastAsia"/>
          <w:b/>
          <w:bCs/>
          <w:color w:val="000000"/>
          <w:sz w:val="32"/>
          <w:szCs w:val="32"/>
          <w:lang w:eastAsia="zh-CN"/>
        </w:rPr>
        <w:t>）</w:t>
      </w:r>
      <w:r>
        <w:rPr>
          <w:rFonts w:hint="eastAsia"/>
          <w:b/>
          <w:bCs/>
          <w:color w:val="000000"/>
          <w:sz w:val="32"/>
          <w:szCs w:val="32"/>
          <w:lang w:val="en-US" w:eastAsia="zh-CN"/>
        </w:rPr>
        <w:t>1534.59</w:t>
      </w:r>
      <w:r>
        <w:rPr>
          <w:rFonts w:hint="eastAsia"/>
          <w:b/>
          <w:bCs/>
          <w:color w:val="000000"/>
          <w:sz w:val="32"/>
          <w:szCs w:val="32"/>
        </w:rPr>
        <w:t>万元。</w:t>
      </w:r>
      <w:r>
        <w:rPr>
          <w:rFonts w:hint="eastAsia"/>
          <w:color w:val="000000"/>
          <w:sz w:val="32"/>
          <w:szCs w:val="32"/>
        </w:rPr>
        <w:t>主要包括</w:t>
      </w:r>
      <w:r>
        <w:rPr>
          <w:rFonts w:hint="eastAsia"/>
          <w:color w:val="000000"/>
          <w:sz w:val="32"/>
          <w:szCs w:val="32"/>
          <w:lang w:val="en-US" w:eastAsia="zh-CN"/>
        </w:rPr>
        <w:t>房屋建筑物构建1534.59万元。</w:t>
      </w:r>
    </w:p>
    <w:p>
      <w:pPr>
        <w:spacing w:before="100" w:beforeAutospacing="1" w:after="100" w:afterAutospacing="1" w:line="560" w:lineRule="atLeast"/>
        <w:ind w:firstLine="643"/>
        <w:jc w:val="both"/>
        <w:rPr>
          <w:rFonts w:hint="default" w:eastAsia="宋体"/>
          <w:color w:val="000000"/>
          <w:sz w:val="32"/>
          <w:szCs w:val="32"/>
          <w:lang w:val="en-US" w:eastAsia="zh-CN"/>
        </w:rPr>
      </w:pPr>
      <w:r>
        <w:rPr>
          <w:rFonts w:hint="eastAsia"/>
          <w:b/>
          <w:bCs/>
          <w:color w:val="000000"/>
          <w:sz w:val="32"/>
          <w:szCs w:val="32"/>
        </w:rPr>
        <w:t>（</w:t>
      </w:r>
      <w:r>
        <w:rPr>
          <w:rFonts w:hint="eastAsia"/>
          <w:b/>
          <w:bCs/>
          <w:color w:val="000000"/>
          <w:sz w:val="32"/>
          <w:szCs w:val="32"/>
          <w:lang w:val="en-US" w:eastAsia="zh-CN"/>
        </w:rPr>
        <w:t>四</w:t>
      </w:r>
      <w:r>
        <w:rPr>
          <w:rFonts w:hint="eastAsia"/>
          <w:b/>
          <w:bCs/>
          <w:color w:val="000000"/>
          <w:sz w:val="32"/>
          <w:szCs w:val="32"/>
        </w:rPr>
        <w:t>）资本性支出</w:t>
      </w:r>
      <w:r>
        <w:rPr>
          <w:rFonts w:hint="eastAsia"/>
          <w:b/>
          <w:bCs/>
          <w:color w:val="000000"/>
          <w:sz w:val="32"/>
          <w:szCs w:val="32"/>
          <w:lang w:val="en-US" w:eastAsia="zh-CN"/>
        </w:rPr>
        <w:t>1027.02万元。</w:t>
      </w:r>
      <w:r>
        <w:rPr>
          <w:rFonts w:hint="eastAsia"/>
          <w:color w:val="000000"/>
          <w:sz w:val="32"/>
          <w:szCs w:val="32"/>
        </w:rPr>
        <w:t>主要包括：</w:t>
      </w:r>
      <w:r>
        <w:rPr>
          <w:rFonts w:hint="eastAsia"/>
          <w:color w:val="000000"/>
          <w:sz w:val="32"/>
          <w:szCs w:val="32"/>
          <w:lang w:val="en-US" w:eastAsia="zh-CN"/>
        </w:rPr>
        <w:t>办公设备购置0.39万元、专用设备购置334.14万元、大型修缮654.55万元、信息网络及软件购置更新37.95万元。</w:t>
      </w:r>
      <w:bookmarkStart w:id="0" w:name="_GoBack"/>
      <w:bookmarkEnd w:id="0"/>
    </w:p>
    <w:p>
      <w:pPr>
        <w:spacing w:before="100" w:beforeAutospacing="1" w:after="100" w:afterAutospacing="1" w:line="600" w:lineRule="atLeast"/>
        <w:ind w:firstLine="643"/>
        <w:jc w:val="both"/>
      </w:pPr>
      <w:r>
        <w:rPr>
          <w:rFonts w:hint="eastAsia" w:ascii="黑体" w:hAnsi="黑体" w:eastAsia="黑体"/>
          <w:b/>
          <w:bCs/>
          <w:color w:val="000000"/>
          <w:sz w:val="32"/>
          <w:szCs w:val="32"/>
        </w:rPr>
        <w:t>八、</w:t>
      </w:r>
      <w:r>
        <w:rPr>
          <w:rFonts w:hint="eastAsia" w:ascii="黑体" w:hAnsi="黑体" w:eastAsia="黑体"/>
          <w:b/>
          <w:bCs/>
          <w:sz w:val="32"/>
          <w:szCs w:val="32"/>
        </w:rPr>
        <w:t>财政拨款</w:t>
      </w:r>
      <w:r>
        <w:rPr>
          <w:rFonts w:ascii="Times New Roman" w:hAnsi="Times New Roman" w:cs="Times New Roman"/>
          <w:b/>
          <w:bCs/>
          <w:sz w:val="32"/>
          <w:szCs w:val="32"/>
        </w:rPr>
        <w:t>“</w:t>
      </w:r>
      <w:r>
        <w:rPr>
          <w:rFonts w:hint="eastAsia" w:ascii="黑体" w:hAnsi="黑体" w:eastAsia="黑体"/>
          <w:b/>
          <w:bCs/>
          <w:sz w:val="32"/>
          <w:szCs w:val="32"/>
        </w:rPr>
        <w:t>三公</w:t>
      </w:r>
      <w:r>
        <w:rPr>
          <w:rFonts w:ascii="Times New Roman" w:hAnsi="Times New Roman" w:cs="Times New Roman"/>
          <w:b/>
          <w:bCs/>
          <w:sz w:val="32"/>
          <w:szCs w:val="32"/>
        </w:rPr>
        <w:t>”</w:t>
      </w:r>
      <w:r>
        <w:rPr>
          <w:rFonts w:hint="eastAsia" w:ascii="黑体" w:hAnsi="黑体" w:eastAsia="黑体"/>
          <w:b/>
          <w:bCs/>
          <w:sz w:val="32"/>
          <w:szCs w:val="32"/>
        </w:rPr>
        <w:t>经费支出决算情况说明</w:t>
      </w:r>
    </w:p>
    <w:p>
      <w:pPr>
        <w:keepNext/>
        <w:spacing w:before="100" w:beforeAutospacing="1" w:after="100" w:afterAutospacing="1" w:line="560" w:lineRule="atLeast"/>
        <w:ind w:firstLine="643"/>
        <w:jc w:val="both"/>
      </w:pPr>
      <w:r>
        <w:rPr>
          <w:rFonts w:hint="eastAsia" w:ascii="楷体" w:hAnsi="楷体" w:eastAsia="楷体"/>
          <w:b/>
          <w:bCs/>
          <w:sz w:val="32"/>
          <w:szCs w:val="32"/>
        </w:rPr>
        <w:t>（一）财政拨款</w:t>
      </w:r>
      <w:r>
        <w:rPr>
          <w:rFonts w:ascii="Times New Roman" w:hAnsi="Times New Roman" w:cs="Times New Roman"/>
          <w:b/>
          <w:bCs/>
          <w:sz w:val="32"/>
          <w:szCs w:val="32"/>
        </w:rPr>
        <w:t>“</w:t>
      </w:r>
      <w:r>
        <w:rPr>
          <w:rFonts w:hint="eastAsia" w:ascii="楷体" w:hAnsi="楷体" w:eastAsia="楷体"/>
          <w:b/>
          <w:bCs/>
          <w:sz w:val="32"/>
          <w:szCs w:val="32"/>
        </w:rPr>
        <w:t>三公</w:t>
      </w:r>
      <w:r>
        <w:rPr>
          <w:rFonts w:ascii="Times New Roman" w:hAnsi="Times New Roman" w:cs="Times New Roman"/>
          <w:b/>
          <w:bCs/>
          <w:sz w:val="32"/>
          <w:szCs w:val="32"/>
        </w:rPr>
        <w:t>”</w:t>
      </w:r>
      <w:r>
        <w:rPr>
          <w:rFonts w:hint="eastAsia" w:ascii="楷体" w:hAnsi="楷体" w:eastAsia="楷体"/>
          <w:b/>
          <w:bCs/>
          <w:sz w:val="32"/>
          <w:szCs w:val="32"/>
        </w:rPr>
        <w:t>经费支出总体情况说明。</w:t>
      </w:r>
    </w:p>
    <w:p>
      <w:r>
        <w:rPr>
          <w:rFonts w:hint="eastAsia"/>
          <w:sz w:val="32"/>
          <w:szCs w:val="32"/>
        </w:rPr>
        <w:t xml:space="preserve">    呼伦贝尔职业技术学院部门</w:t>
      </w:r>
      <w:r>
        <w:rPr>
          <w:rFonts w:ascii="Times New Roman" w:hAnsi="Times New Roman" w:cs="Times New Roman"/>
          <w:sz w:val="32"/>
          <w:szCs w:val="32"/>
        </w:rPr>
        <w:t xml:space="preserve"> </w:t>
      </w:r>
      <w:r>
        <w:rPr>
          <w:rFonts w:hint="eastAsia"/>
          <w:sz w:val="32"/>
          <w:szCs w:val="32"/>
        </w:rPr>
        <w:t>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经费预算</w:t>
      </w:r>
      <w:r>
        <w:rPr>
          <w:rFonts w:hint="eastAsia" w:ascii="Times New Roman" w:hAnsi="Times New Roman" w:cs="Times New Roman"/>
          <w:sz w:val="32"/>
          <w:szCs w:val="32"/>
        </w:rPr>
        <w:t>33.58</w:t>
      </w:r>
      <w:r>
        <w:rPr>
          <w:rFonts w:hint="eastAsia"/>
          <w:sz w:val="32"/>
          <w:szCs w:val="32"/>
        </w:rPr>
        <w:t>万元，支出决算</w:t>
      </w:r>
      <w:r>
        <w:rPr>
          <w:rFonts w:hint="eastAsia" w:ascii="Times New Roman" w:hAnsi="Times New Roman" w:cs="Times New Roman"/>
          <w:sz w:val="32"/>
          <w:szCs w:val="32"/>
        </w:rPr>
        <w:t>33.40</w:t>
      </w:r>
      <w:r>
        <w:rPr>
          <w:rFonts w:hint="eastAsia"/>
          <w:sz w:val="32"/>
          <w:szCs w:val="32"/>
        </w:rPr>
        <w:t>万元，完成预算的</w:t>
      </w:r>
      <w:r>
        <w:rPr>
          <w:rFonts w:hint="eastAsia" w:ascii="Times New Roman" w:hAnsi="Times New Roman" w:cs="Times New Roman"/>
          <w:sz w:val="32"/>
          <w:szCs w:val="32"/>
        </w:rPr>
        <w:t>99.46</w:t>
      </w:r>
      <w:r>
        <w:rPr>
          <w:rFonts w:hint="eastAsia"/>
          <w:sz w:val="32"/>
          <w:szCs w:val="32"/>
        </w:rPr>
        <w:t>%。其中：因公出国（境）费预算</w:t>
      </w:r>
      <w:r>
        <w:rPr>
          <w:rFonts w:hint="eastAsia" w:ascii="Times New Roman" w:hAnsi="Times New Roman" w:cs="Times New Roman"/>
          <w:sz w:val="32"/>
          <w:szCs w:val="32"/>
        </w:rPr>
        <w:t>0</w:t>
      </w:r>
      <w:r>
        <w:rPr>
          <w:rFonts w:hint="eastAsia"/>
          <w:sz w:val="32"/>
          <w:szCs w:val="32"/>
        </w:rPr>
        <w:t>万元，支出决算</w:t>
      </w:r>
      <w:r>
        <w:rPr>
          <w:rFonts w:ascii="Times New Roman" w:hAnsi="Times New Roman" w:cs="Times New Roman"/>
          <w:sz w:val="32"/>
          <w:szCs w:val="32"/>
        </w:rPr>
        <w:t xml:space="preserve">    </w:t>
      </w:r>
      <w:r>
        <w:rPr>
          <w:rFonts w:hint="eastAsia" w:ascii="Times New Roman" w:hAnsi="Times New Roman" w:cs="Times New Roman"/>
          <w:sz w:val="32"/>
          <w:szCs w:val="32"/>
        </w:rPr>
        <w:t>0</w:t>
      </w:r>
      <w:r>
        <w:rPr>
          <w:rFonts w:hint="eastAsia"/>
          <w:sz w:val="32"/>
          <w:szCs w:val="32"/>
        </w:rPr>
        <w:t>万元，完成预算的</w:t>
      </w:r>
      <w:r>
        <w:rPr>
          <w:rFonts w:hint="eastAsia" w:ascii="Times New Roman" w:hAnsi="Times New Roman" w:cs="Times New Roman"/>
          <w:sz w:val="32"/>
          <w:szCs w:val="32"/>
        </w:rPr>
        <w:t>0</w:t>
      </w:r>
      <w:r>
        <w:rPr>
          <w:rFonts w:hint="eastAsia"/>
          <w:sz w:val="32"/>
          <w:szCs w:val="32"/>
        </w:rPr>
        <w:t>%；公务用车购置及运行维护费预算</w:t>
      </w:r>
      <w:r>
        <w:rPr>
          <w:rFonts w:ascii="Times New Roman" w:hAnsi="Times New Roman" w:cs="Times New Roman"/>
          <w:sz w:val="32"/>
          <w:szCs w:val="32"/>
        </w:rPr>
        <w:t xml:space="preserve">    </w:t>
      </w:r>
      <w:r>
        <w:rPr>
          <w:rFonts w:hint="eastAsia" w:ascii="Times New Roman" w:hAnsi="Times New Roman" w:cs="Times New Roman"/>
          <w:sz w:val="32"/>
          <w:szCs w:val="32"/>
        </w:rPr>
        <w:t>27.29</w:t>
      </w:r>
      <w:r>
        <w:rPr>
          <w:rFonts w:hint="eastAsia"/>
          <w:sz w:val="32"/>
          <w:szCs w:val="32"/>
        </w:rPr>
        <w:t>万元，支出决算</w:t>
      </w:r>
      <w:r>
        <w:rPr>
          <w:rFonts w:hint="eastAsia" w:ascii="Times New Roman" w:hAnsi="Times New Roman" w:cs="Times New Roman"/>
          <w:sz w:val="32"/>
          <w:szCs w:val="32"/>
        </w:rPr>
        <w:t>27.11</w:t>
      </w:r>
      <w:r>
        <w:rPr>
          <w:rFonts w:hint="eastAsia"/>
          <w:sz w:val="32"/>
          <w:szCs w:val="32"/>
        </w:rPr>
        <w:t>万元，完成预算的</w:t>
      </w:r>
      <w:r>
        <w:rPr>
          <w:rFonts w:hint="eastAsia" w:ascii="Times New Roman" w:hAnsi="Times New Roman" w:cs="Times New Roman"/>
          <w:sz w:val="32"/>
          <w:szCs w:val="32"/>
        </w:rPr>
        <w:t>99.34</w:t>
      </w:r>
      <w:r>
        <w:rPr>
          <w:rFonts w:hint="eastAsia"/>
          <w:sz w:val="32"/>
          <w:szCs w:val="32"/>
        </w:rPr>
        <w:t>%；公务接待费预算</w:t>
      </w:r>
      <w:r>
        <w:rPr>
          <w:rFonts w:hint="eastAsia" w:ascii="Times New Roman" w:hAnsi="Times New Roman" w:cs="Times New Roman"/>
          <w:sz w:val="32"/>
          <w:szCs w:val="32"/>
        </w:rPr>
        <w:t>6.29</w:t>
      </w:r>
      <w:r>
        <w:rPr>
          <w:rFonts w:hint="eastAsia"/>
          <w:sz w:val="32"/>
          <w:szCs w:val="32"/>
        </w:rPr>
        <w:t>万元，支出决算</w:t>
      </w:r>
      <w:r>
        <w:rPr>
          <w:rFonts w:hint="eastAsia" w:ascii="Times New Roman" w:hAnsi="Times New Roman" w:cs="Times New Roman"/>
          <w:sz w:val="32"/>
          <w:szCs w:val="32"/>
        </w:rPr>
        <w:t>6.29</w:t>
      </w:r>
      <w:r>
        <w:rPr>
          <w:rFonts w:hint="eastAsia"/>
          <w:sz w:val="32"/>
          <w:szCs w:val="32"/>
        </w:rPr>
        <w:t>万元，完成预算的</w:t>
      </w:r>
      <w:r>
        <w:rPr>
          <w:rFonts w:hint="eastAsia" w:ascii="Times New Roman" w:hAnsi="Times New Roman" w:cs="Times New Roman"/>
          <w:sz w:val="32"/>
          <w:szCs w:val="32"/>
        </w:rPr>
        <w:t>100</w:t>
      </w:r>
      <w:r>
        <w:rPr>
          <w:rFonts w:hint="eastAsia"/>
          <w:sz w:val="32"/>
          <w:szCs w:val="32"/>
        </w:rPr>
        <w:t>%。2022年度财政拨款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经费支出决算与预算差异原因：一是认真贯彻落实中央</w:t>
      </w:r>
      <w:r>
        <w:rPr>
          <w:sz w:val="32"/>
          <w:szCs w:val="32"/>
        </w:rPr>
        <w:t>“</w:t>
      </w:r>
      <w:r>
        <w:rPr>
          <w:rFonts w:hint="eastAsia"/>
          <w:sz w:val="32"/>
          <w:szCs w:val="32"/>
        </w:rPr>
        <w:t>八项规定</w:t>
      </w:r>
      <w:r>
        <w:rPr>
          <w:sz w:val="32"/>
          <w:szCs w:val="32"/>
        </w:rPr>
        <w:t>”</w:t>
      </w:r>
      <w:r>
        <w:rPr>
          <w:rFonts w:hint="eastAsia"/>
          <w:sz w:val="32"/>
          <w:szCs w:val="32"/>
        </w:rPr>
        <w:t>精神和厉行节约要求，严格控制</w:t>
      </w:r>
      <w:r>
        <w:rPr>
          <w:sz w:val="32"/>
          <w:szCs w:val="32"/>
        </w:rPr>
        <w:t>“</w:t>
      </w:r>
      <w:r>
        <w:rPr>
          <w:rFonts w:hint="eastAsia"/>
          <w:sz w:val="32"/>
          <w:szCs w:val="32"/>
        </w:rPr>
        <w:t>三公</w:t>
      </w:r>
      <w:r>
        <w:rPr>
          <w:sz w:val="32"/>
          <w:szCs w:val="32"/>
        </w:rPr>
        <w:t>”</w:t>
      </w:r>
      <w:r>
        <w:rPr>
          <w:rFonts w:hint="eastAsia"/>
          <w:sz w:val="32"/>
          <w:szCs w:val="32"/>
        </w:rPr>
        <w:t>经费开支；二是学院本着</w:t>
      </w:r>
      <w:r>
        <w:rPr>
          <w:sz w:val="32"/>
          <w:szCs w:val="32"/>
        </w:rPr>
        <w:t>“</w:t>
      </w:r>
      <w:r>
        <w:rPr>
          <w:rFonts w:hint="eastAsia"/>
          <w:sz w:val="32"/>
          <w:szCs w:val="32"/>
        </w:rPr>
        <w:t>勤俭节约</w:t>
      </w:r>
      <w:r>
        <w:rPr>
          <w:sz w:val="32"/>
          <w:szCs w:val="32"/>
        </w:rPr>
        <w:t>”</w:t>
      </w:r>
      <w:r>
        <w:rPr>
          <w:rFonts w:hint="eastAsia"/>
          <w:sz w:val="32"/>
          <w:szCs w:val="32"/>
        </w:rPr>
        <w:t>原则，严格执行相关规定，控制相关经费支出。</w:t>
      </w:r>
    </w:p>
    <w:p>
      <w:pPr>
        <w:keepNext/>
        <w:spacing w:before="100" w:beforeAutospacing="1" w:after="100" w:afterAutospacing="1" w:line="560" w:lineRule="atLeast"/>
        <w:ind w:firstLine="643"/>
        <w:jc w:val="both"/>
      </w:pPr>
      <w:r>
        <w:rPr>
          <w:rFonts w:hint="eastAsia" w:ascii="楷体" w:hAnsi="楷体" w:eastAsia="楷体"/>
          <w:b/>
          <w:bCs/>
          <w:sz w:val="32"/>
          <w:szCs w:val="32"/>
        </w:rPr>
        <w:t>（二）财政拨款</w:t>
      </w:r>
      <w:r>
        <w:rPr>
          <w:rFonts w:ascii="Times New Roman" w:hAnsi="Times New Roman" w:cs="Times New Roman"/>
          <w:b/>
          <w:bCs/>
          <w:sz w:val="32"/>
          <w:szCs w:val="32"/>
        </w:rPr>
        <w:t>“</w:t>
      </w:r>
      <w:r>
        <w:rPr>
          <w:rFonts w:hint="eastAsia" w:ascii="楷体" w:hAnsi="楷体" w:eastAsia="楷体"/>
          <w:b/>
          <w:bCs/>
          <w:sz w:val="32"/>
          <w:szCs w:val="32"/>
        </w:rPr>
        <w:t>三公</w:t>
      </w:r>
      <w:r>
        <w:rPr>
          <w:rFonts w:ascii="Times New Roman" w:hAnsi="Times New Roman" w:cs="Times New Roman"/>
          <w:b/>
          <w:bCs/>
          <w:sz w:val="32"/>
          <w:szCs w:val="32"/>
        </w:rPr>
        <w:t>”</w:t>
      </w:r>
      <w:r>
        <w:rPr>
          <w:rFonts w:hint="eastAsia" w:ascii="楷体" w:hAnsi="楷体" w:eastAsia="楷体"/>
          <w:b/>
          <w:bCs/>
          <w:sz w:val="32"/>
          <w:szCs w:val="32"/>
        </w:rPr>
        <w:t>经费支出具体情况说明。</w:t>
      </w:r>
    </w:p>
    <w:p>
      <w:pPr>
        <w:keepNext/>
        <w:spacing w:before="100" w:beforeAutospacing="1" w:after="100" w:afterAutospacing="1" w:line="560" w:lineRule="atLeast"/>
        <w:ind w:firstLine="643"/>
        <w:jc w:val="both"/>
      </w:pPr>
      <w:r>
        <w:rPr>
          <w:rFonts w:hint="eastAsia"/>
          <w:sz w:val="32"/>
          <w:szCs w:val="32"/>
        </w:rPr>
        <w:t>呼伦贝尔职业技术学院部门2022年度财政拨款</w:t>
      </w:r>
      <w:r>
        <w:rPr>
          <w:rFonts w:ascii="Times New Roman" w:hAnsi="Times New Roman" w:cs="Times New Roman"/>
          <w:sz w:val="32"/>
          <w:szCs w:val="32"/>
        </w:rPr>
        <w:t>“</w:t>
      </w:r>
      <w:r>
        <w:rPr>
          <w:rFonts w:hint="eastAsia"/>
          <w:sz w:val="32"/>
          <w:szCs w:val="32"/>
        </w:rPr>
        <w:t>三公</w:t>
      </w:r>
      <w:r>
        <w:rPr>
          <w:rFonts w:ascii="Times New Roman" w:hAnsi="Times New Roman" w:cs="Times New Roman"/>
          <w:sz w:val="32"/>
          <w:szCs w:val="32"/>
        </w:rPr>
        <w:t>”</w:t>
      </w:r>
      <w:r>
        <w:rPr>
          <w:rFonts w:hint="eastAsia"/>
          <w:sz w:val="32"/>
          <w:szCs w:val="32"/>
        </w:rPr>
        <w:t>经费支出</w:t>
      </w:r>
      <w:r>
        <w:rPr>
          <w:rFonts w:hint="eastAsia" w:ascii="Times New Roman" w:hAnsi="Times New Roman" w:cs="Times New Roman"/>
          <w:sz w:val="32"/>
          <w:szCs w:val="32"/>
        </w:rPr>
        <w:t>33.40</w:t>
      </w:r>
      <w:r>
        <w:rPr>
          <w:rFonts w:hint="eastAsia"/>
          <w:sz w:val="32"/>
          <w:szCs w:val="32"/>
        </w:rPr>
        <w:t>万元。因公出国（境）费支出</w:t>
      </w:r>
      <w:r>
        <w:rPr>
          <w:rFonts w:hint="eastAsia" w:ascii="Times New Roman" w:hAnsi="Times New Roman" w:cs="Times New Roman"/>
          <w:sz w:val="32"/>
          <w:szCs w:val="32"/>
        </w:rPr>
        <w:t>0</w:t>
      </w:r>
      <w:r>
        <w:rPr>
          <w:rFonts w:hint="eastAsia"/>
          <w:sz w:val="32"/>
          <w:szCs w:val="32"/>
        </w:rPr>
        <w:t>万元，占</w:t>
      </w:r>
      <w:r>
        <w:rPr>
          <w:rFonts w:hint="eastAsia" w:ascii="Times New Roman" w:hAnsi="Times New Roman" w:cs="Times New Roman"/>
          <w:sz w:val="32"/>
          <w:szCs w:val="32"/>
        </w:rPr>
        <w:t>0</w:t>
      </w:r>
      <w:r>
        <w:rPr>
          <w:rFonts w:hint="eastAsia"/>
          <w:sz w:val="32"/>
          <w:szCs w:val="32"/>
        </w:rPr>
        <w:t>%；公务用车购置及运行维护费支出</w:t>
      </w:r>
      <w:r>
        <w:rPr>
          <w:rFonts w:hint="eastAsia" w:ascii="Times New Roman" w:hAnsi="Times New Roman" w:cs="Times New Roman"/>
          <w:sz w:val="32"/>
          <w:szCs w:val="32"/>
        </w:rPr>
        <w:t>27.11</w:t>
      </w:r>
      <w:r>
        <w:rPr>
          <w:rFonts w:hint="eastAsia"/>
          <w:sz w:val="32"/>
          <w:szCs w:val="32"/>
        </w:rPr>
        <w:t>万元，占</w:t>
      </w:r>
      <w:r>
        <w:rPr>
          <w:rFonts w:hint="eastAsia" w:ascii="Times New Roman" w:hAnsi="Times New Roman" w:cs="Times New Roman"/>
          <w:sz w:val="32"/>
          <w:szCs w:val="32"/>
        </w:rPr>
        <w:t>81.17</w:t>
      </w:r>
      <w:r>
        <w:rPr>
          <w:rFonts w:hint="eastAsia"/>
          <w:sz w:val="32"/>
          <w:szCs w:val="32"/>
        </w:rPr>
        <w:t>%；公务接待费支出</w:t>
      </w:r>
      <w:r>
        <w:rPr>
          <w:rFonts w:hint="eastAsia" w:ascii="Times New Roman" w:hAnsi="Times New Roman" w:cs="Times New Roman"/>
          <w:sz w:val="32"/>
          <w:szCs w:val="32"/>
        </w:rPr>
        <w:t>6.29</w:t>
      </w:r>
      <w:r>
        <w:rPr>
          <w:rFonts w:hint="eastAsia"/>
          <w:sz w:val="32"/>
          <w:szCs w:val="32"/>
        </w:rPr>
        <w:t>万元，占</w:t>
      </w:r>
      <w:r>
        <w:rPr>
          <w:rFonts w:hint="eastAsia" w:ascii="Times New Roman" w:hAnsi="Times New Roman" w:cs="Times New Roman"/>
          <w:sz w:val="32"/>
          <w:szCs w:val="32"/>
        </w:rPr>
        <w:t>18.83</w:t>
      </w:r>
      <w:r>
        <w:rPr>
          <w:rFonts w:hint="eastAsia"/>
          <w:sz w:val="32"/>
          <w:szCs w:val="32"/>
        </w:rPr>
        <w:t>%。其中：</w:t>
      </w:r>
    </w:p>
    <w:p>
      <w:pPr>
        <w:spacing w:before="100" w:beforeAutospacing="1" w:after="100" w:afterAutospacing="1" w:line="560" w:lineRule="atLeast"/>
        <w:ind w:firstLine="640"/>
        <w:jc w:val="both"/>
      </w:pPr>
      <w:r>
        <w:rPr>
          <w:rFonts w:ascii="Times New Roman" w:hAnsi="Times New Roman" w:cs="Times New Roman"/>
          <w:sz w:val="32"/>
          <w:szCs w:val="32"/>
        </w:rPr>
        <w:t>1.</w:t>
      </w:r>
      <w:r>
        <w:rPr>
          <w:rFonts w:hint="eastAsia"/>
          <w:sz w:val="32"/>
          <w:szCs w:val="32"/>
        </w:rPr>
        <w:t>因公出国（境）费支出</w:t>
      </w:r>
      <w:r>
        <w:rPr>
          <w:rFonts w:hint="eastAsia" w:ascii="Times New Roman" w:hAnsi="Times New Roman" w:cs="Times New Roman"/>
          <w:sz w:val="32"/>
          <w:szCs w:val="32"/>
        </w:rPr>
        <w:t>0</w:t>
      </w:r>
      <w:r>
        <w:rPr>
          <w:rFonts w:hint="eastAsia"/>
          <w:sz w:val="32"/>
          <w:szCs w:val="32"/>
        </w:rPr>
        <w:t>万元，全年出国（境）团组</w:t>
      </w:r>
      <w:r>
        <w:rPr>
          <w:rFonts w:ascii="Times New Roman" w:hAnsi="Times New Roman" w:cs="Times New Roman"/>
          <w:sz w:val="32"/>
          <w:szCs w:val="32"/>
        </w:rPr>
        <w:t xml:space="preserve">    </w:t>
      </w:r>
      <w:r>
        <w:rPr>
          <w:rFonts w:hint="eastAsia"/>
          <w:sz w:val="32"/>
          <w:szCs w:val="32"/>
        </w:rPr>
        <w:t>个，累计</w:t>
      </w:r>
      <w:r>
        <w:rPr>
          <w:rFonts w:hint="eastAsia" w:ascii="Times New Roman" w:hAnsi="Times New Roman" w:cs="Times New Roman"/>
          <w:sz w:val="32"/>
          <w:szCs w:val="32"/>
        </w:rPr>
        <w:t>0</w:t>
      </w:r>
      <w:r>
        <w:rPr>
          <w:rFonts w:hint="eastAsia"/>
          <w:sz w:val="32"/>
          <w:szCs w:val="32"/>
        </w:rPr>
        <w:t>人次。与上年决算相比，增加</w:t>
      </w:r>
      <w:r>
        <w:rPr>
          <w:rFonts w:hint="eastAsia" w:ascii="Times New Roman" w:hAnsi="Times New Roman" w:cs="Times New Roman"/>
          <w:sz w:val="32"/>
          <w:szCs w:val="32"/>
        </w:rPr>
        <w:t>0</w:t>
      </w:r>
      <w:r>
        <w:rPr>
          <w:rFonts w:hint="eastAsia"/>
          <w:sz w:val="32"/>
          <w:szCs w:val="32"/>
        </w:rPr>
        <w:t>万元，增长</w:t>
      </w:r>
      <w:r>
        <w:rPr>
          <w:rFonts w:hint="eastAsia" w:ascii="Times New Roman" w:hAnsi="Times New Roman" w:cs="Times New Roman"/>
          <w:sz w:val="32"/>
          <w:szCs w:val="32"/>
        </w:rPr>
        <w:t>0</w:t>
      </w:r>
      <w:r>
        <w:rPr>
          <w:rFonts w:hint="eastAsia"/>
          <w:sz w:val="32"/>
          <w:szCs w:val="32"/>
        </w:rPr>
        <w:t>%，变动原因：不存在此项内容。</w:t>
      </w:r>
    </w:p>
    <w:p>
      <w:pPr>
        <w:spacing w:before="100" w:beforeAutospacing="1" w:after="100" w:afterAutospacing="1" w:line="560" w:lineRule="atLeast"/>
        <w:ind w:firstLine="640"/>
        <w:jc w:val="both"/>
      </w:pPr>
      <w:r>
        <w:rPr>
          <w:rFonts w:ascii="Times New Roman" w:hAnsi="Times New Roman" w:cs="Times New Roman"/>
          <w:sz w:val="32"/>
          <w:szCs w:val="32"/>
        </w:rPr>
        <w:t>2.</w:t>
      </w:r>
      <w:r>
        <w:rPr>
          <w:rFonts w:hint="eastAsia"/>
          <w:sz w:val="32"/>
          <w:szCs w:val="32"/>
        </w:rPr>
        <w:t>公务用车购置及运行维护费支出</w:t>
      </w:r>
      <w:r>
        <w:rPr>
          <w:rFonts w:hint="eastAsia" w:ascii="Times New Roman" w:hAnsi="Times New Roman" w:cs="Times New Roman"/>
          <w:sz w:val="32"/>
          <w:szCs w:val="32"/>
        </w:rPr>
        <w:t>27.11</w:t>
      </w:r>
      <w:r>
        <w:rPr>
          <w:rFonts w:hint="eastAsia"/>
          <w:sz w:val="32"/>
          <w:szCs w:val="32"/>
        </w:rPr>
        <w:t>万元。其中：</w:t>
      </w:r>
    </w:p>
    <w:p>
      <w:pPr>
        <w:spacing w:before="100" w:beforeAutospacing="1" w:after="100" w:afterAutospacing="1" w:line="560" w:lineRule="atLeast"/>
        <w:ind w:firstLine="640"/>
        <w:jc w:val="both"/>
      </w:pPr>
      <w:r>
        <w:rPr>
          <w:rFonts w:hint="eastAsia"/>
          <w:sz w:val="32"/>
          <w:szCs w:val="32"/>
        </w:rPr>
        <w:t>（</w:t>
      </w:r>
      <w:r>
        <w:rPr>
          <w:rFonts w:ascii="Times New Roman" w:hAnsi="Times New Roman" w:cs="Times New Roman"/>
          <w:sz w:val="32"/>
          <w:szCs w:val="32"/>
        </w:rPr>
        <w:t>1</w:t>
      </w:r>
      <w:r>
        <w:rPr>
          <w:rFonts w:hint="eastAsia"/>
          <w:sz w:val="32"/>
          <w:szCs w:val="32"/>
        </w:rPr>
        <w:t>）公务用车购置支出</w:t>
      </w:r>
      <w:r>
        <w:rPr>
          <w:rFonts w:hint="eastAsia" w:ascii="Times New Roman" w:hAnsi="Times New Roman" w:cs="Times New Roman"/>
          <w:sz w:val="32"/>
          <w:szCs w:val="32"/>
        </w:rPr>
        <w:t>0</w:t>
      </w:r>
      <w:r>
        <w:rPr>
          <w:rFonts w:hint="eastAsia"/>
          <w:sz w:val="32"/>
          <w:szCs w:val="32"/>
        </w:rPr>
        <w:t>万元。本年度使用财政拨款购置公务用车</w:t>
      </w:r>
      <w:r>
        <w:rPr>
          <w:rFonts w:hint="eastAsia" w:ascii="Times New Roman" w:hAnsi="Times New Roman" w:cs="Times New Roman"/>
          <w:sz w:val="32"/>
          <w:szCs w:val="32"/>
        </w:rPr>
        <w:t>0</w:t>
      </w:r>
      <w:r>
        <w:rPr>
          <w:rFonts w:hint="eastAsia"/>
          <w:sz w:val="32"/>
          <w:szCs w:val="32"/>
        </w:rPr>
        <w:t>辆。与上年决算相比，增加</w:t>
      </w:r>
      <w:r>
        <w:rPr>
          <w:rFonts w:hint="eastAsia" w:ascii="Times New Roman" w:hAnsi="Times New Roman" w:cs="Times New Roman"/>
          <w:sz w:val="32"/>
          <w:szCs w:val="32"/>
        </w:rPr>
        <w:t>0</w:t>
      </w:r>
      <w:r>
        <w:rPr>
          <w:rFonts w:hint="eastAsia"/>
          <w:sz w:val="32"/>
          <w:szCs w:val="32"/>
        </w:rPr>
        <w:t>万元，增长</w:t>
      </w:r>
      <w:r>
        <w:rPr>
          <w:rFonts w:hint="eastAsia" w:ascii="Times New Roman" w:hAnsi="Times New Roman" w:cs="Times New Roman"/>
          <w:sz w:val="32"/>
          <w:szCs w:val="32"/>
        </w:rPr>
        <w:t>0</w:t>
      </w:r>
      <w:r>
        <w:rPr>
          <w:rFonts w:hint="eastAsia"/>
          <w:sz w:val="32"/>
          <w:szCs w:val="32"/>
        </w:rPr>
        <w:t>%，变动原因：学院本年度未使用财政拨款购置公务用车。</w:t>
      </w:r>
    </w:p>
    <w:p>
      <w:pPr>
        <w:spacing w:before="100" w:beforeAutospacing="1" w:after="100" w:afterAutospacing="1" w:line="560" w:lineRule="atLeast"/>
        <w:ind w:firstLine="640"/>
        <w:jc w:val="both"/>
      </w:pPr>
      <w:r>
        <w:rPr>
          <w:rFonts w:hint="eastAsia"/>
          <w:sz w:val="32"/>
          <w:szCs w:val="32"/>
        </w:rPr>
        <w:t>（</w:t>
      </w:r>
      <w:r>
        <w:rPr>
          <w:rFonts w:ascii="Times New Roman" w:hAnsi="Times New Roman" w:cs="Times New Roman"/>
          <w:sz w:val="32"/>
          <w:szCs w:val="32"/>
        </w:rPr>
        <w:t>2</w:t>
      </w:r>
      <w:r>
        <w:rPr>
          <w:rFonts w:hint="eastAsia"/>
          <w:sz w:val="32"/>
          <w:szCs w:val="32"/>
        </w:rPr>
        <w:t>）公务用车运行维护费支出</w:t>
      </w:r>
      <w:r>
        <w:rPr>
          <w:rFonts w:hint="eastAsia" w:ascii="Times New Roman" w:hAnsi="Times New Roman" w:cs="Times New Roman"/>
          <w:sz w:val="32"/>
          <w:szCs w:val="32"/>
        </w:rPr>
        <w:t>27.11</w:t>
      </w:r>
      <w:r>
        <w:rPr>
          <w:rFonts w:hint="eastAsia"/>
          <w:sz w:val="32"/>
          <w:szCs w:val="32"/>
        </w:rPr>
        <w:t>万元。公务用车运行维护费主要用于按规定保留的公务用车的燃料费、维修费、过桥过路费、保险费、安全奖励费用等支出。截至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日，使用财政拨款开支的公务用车保有量为</w:t>
      </w:r>
      <w:r>
        <w:rPr>
          <w:rFonts w:hint="eastAsia" w:ascii="Times New Roman" w:hAnsi="Times New Roman" w:cs="Times New Roman"/>
          <w:sz w:val="32"/>
          <w:szCs w:val="32"/>
        </w:rPr>
        <w:t>16</w:t>
      </w:r>
      <w:r>
        <w:rPr>
          <w:rFonts w:hint="eastAsia"/>
          <w:sz w:val="32"/>
          <w:szCs w:val="32"/>
        </w:rPr>
        <w:t>辆。与上年决算相比，减少</w:t>
      </w:r>
      <w:r>
        <w:rPr>
          <w:rFonts w:hint="eastAsia" w:ascii="Times New Roman" w:hAnsi="Times New Roman" w:cs="Times New Roman"/>
          <w:sz w:val="32"/>
          <w:szCs w:val="32"/>
        </w:rPr>
        <w:t>1.03</w:t>
      </w:r>
      <w:r>
        <w:rPr>
          <w:rFonts w:hint="eastAsia"/>
          <w:sz w:val="32"/>
          <w:szCs w:val="32"/>
        </w:rPr>
        <w:t>万元，减少</w:t>
      </w:r>
      <w:r>
        <w:rPr>
          <w:rFonts w:hint="eastAsia" w:ascii="Times New Roman" w:hAnsi="Times New Roman" w:cs="Times New Roman"/>
          <w:sz w:val="32"/>
          <w:szCs w:val="32"/>
        </w:rPr>
        <w:t>3.68</w:t>
      </w:r>
      <w:r>
        <w:rPr>
          <w:rFonts w:hint="eastAsia"/>
          <w:sz w:val="32"/>
          <w:szCs w:val="32"/>
        </w:rPr>
        <w:t>%，变动原因：学院本着</w:t>
      </w:r>
      <w:r>
        <w:rPr>
          <w:sz w:val="32"/>
          <w:szCs w:val="32"/>
        </w:rPr>
        <w:t>“</w:t>
      </w:r>
      <w:r>
        <w:rPr>
          <w:rFonts w:hint="eastAsia"/>
          <w:sz w:val="32"/>
          <w:szCs w:val="32"/>
        </w:rPr>
        <w:t>勤俭节约</w:t>
      </w:r>
      <w:r>
        <w:rPr>
          <w:sz w:val="32"/>
          <w:szCs w:val="32"/>
        </w:rPr>
        <w:t>”</w:t>
      </w:r>
      <w:r>
        <w:rPr>
          <w:rFonts w:hint="eastAsia"/>
          <w:sz w:val="32"/>
          <w:szCs w:val="32"/>
        </w:rPr>
        <w:t>原则，严格执行相关规定，控制相关经费支出。</w:t>
      </w:r>
    </w:p>
    <w:p>
      <w:pPr>
        <w:spacing w:before="100" w:beforeAutospacing="1" w:after="100" w:afterAutospacing="1" w:line="560" w:lineRule="atLeast"/>
        <w:ind w:firstLine="640"/>
        <w:jc w:val="both"/>
      </w:pPr>
      <w:r>
        <w:rPr>
          <w:rFonts w:ascii="Times New Roman" w:hAnsi="Times New Roman" w:cs="Times New Roman"/>
          <w:sz w:val="32"/>
          <w:szCs w:val="32"/>
        </w:rPr>
        <w:t>3.</w:t>
      </w:r>
      <w:r>
        <w:rPr>
          <w:rFonts w:hint="eastAsia"/>
          <w:sz w:val="32"/>
          <w:szCs w:val="32"/>
        </w:rPr>
        <w:t>公务接待费支出</w:t>
      </w:r>
      <w:r>
        <w:rPr>
          <w:rFonts w:hint="eastAsia" w:ascii="Times New Roman" w:hAnsi="Times New Roman" w:cs="Times New Roman"/>
          <w:sz w:val="32"/>
          <w:szCs w:val="32"/>
        </w:rPr>
        <w:t>6.29</w:t>
      </w:r>
      <w:r>
        <w:rPr>
          <w:rFonts w:hint="eastAsia"/>
          <w:sz w:val="32"/>
          <w:szCs w:val="32"/>
        </w:rPr>
        <w:t>万元。其中：国内公务接待支出</w:t>
      </w:r>
      <w:r>
        <w:rPr>
          <w:rFonts w:ascii="Times New Roman" w:hAnsi="Times New Roman" w:cs="Times New Roman"/>
          <w:sz w:val="32"/>
          <w:szCs w:val="32"/>
        </w:rPr>
        <w:t xml:space="preserve">    </w:t>
      </w:r>
      <w:r>
        <w:rPr>
          <w:rFonts w:hint="eastAsia" w:ascii="Times New Roman" w:hAnsi="Times New Roman" w:cs="Times New Roman"/>
          <w:sz w:val="32"/>
          <w:szCs w:val="32"/>
        </w:rPr>
        <w:t>6.29</w:t>
      </w:r>
      <w:r>
        <w:rPr>
          <w:rFonts w:hint="eastAsia"/>
          <w:sz w:val="32"/>
          <w:szCs w:val="32"/>
        </w:rPr>
        <w:t>万元，接待</w:t>
      </w:r>
      <w:r>
        <w:rPr>
          <w:rFonts w:hint="eastAsia" w:ascii="Times New Roman" w:hAnsi="Times New Roman" w:cs="Times New Roman"/>
          <w:sz w:val="32"/>
          <w:szCs w:val="32"/>
        </w:rPr>
        <w:t>43</w:t>
      </w:r>
      <w:r>
        <w:rPr>
          <w:rFonts w:hint="eastAsia"/>
          <w:sz w:val="32"/>
          <w:szCs w:val="32"/>
        </w:rPr>
        <w:t>批次，</w:t>
      </w:r>
      <w:r>
        <w:rPr>
          <w:rFonts w:hint="eastAsia" w:ascii="Times New Roman" w:hAnsi="Times New Roman" w:cs="Times New Roman"/>
          <w:sz w:val="32"/>
          <w:szCs w:val="32"/>
        </w:rPr>
        <w:t>530</w:t>
      </w:r>
      <w:r>
        <w:rPr>
          <w:rFonts w:hint="eastAsia"/>
          <w:sz w:val="32"/>
          <w:szCs w:val="32"/>
        </w:rPr>
        <w:t>人次，开支内容为校企合作接待、考评人员工作餐等；国（境）外公务接待支出</w:t>
      </w:r>
      <w:r>
        <w:rPr>
          <w:rFonts w:hint="eastAsia" w:ascii="Times New Roman" w:hAnsi="Times New Roman" w:cs="Times New Roman"/>
          <w:sz w:val="32"/>
          <w:szCs w:val="32"/>
        </w:rPr>
        <w:t>0</w:t>
      </w:r>
      <w:r>
        <w:rPr>
          <w:rFonts w:hint="eastAsia"/>
          <w:sz w:val="32"/>
          <w:szCs w:val="32"/>
        </w:rPr>
        <w:t>万元，接待</w:t>
      </w:r>
      <w:r>
        <w:rPr>
          <w:rFonts w:hint="eastAsia" w:ascii="Times New Roman" w:hAnsi="Times New Roman" w:cs="Times New Roman"/>
          <w:sz w:val="32"/>
          <w:szCs w:val="32"/>
        </w:rPr>
        <w:t>0</w:t>
      </w:r>
      <w:r>
        <w:rPr>
          <w:rFonts w:hint="eastAsia"/>
          <w:sz w:val="32"/>
          <w:szCs w:val="32"/>
        </w:rPr>
        <w:t>批次，</w:t>
      </w:r>
      <w:r>
        <w:rPr>
          <w:rFonts w:hint="eastAsia" w:ascii="Times New Roman" w:hAnsi="Times New Roman" w:cs="Times New Roman"/>
          <w:sz w:val="32"/>
          <w:szCs w:val="32"/>
        </w:rPr>
        <w:t>0</w:t>
      </w:r>
      <w:r>
        <w:rPr>
          <w:rFonts w:hint="eastAsia"/>
          <w:sz w:val="32"/>
          <w:szCs w:val="32"/>
        </w:rPr>
        <w:t>人次，开支内容：不存在此项内容。与上年决算相比，减少</w:t>
      </w:r>
      <w:r>
        <w:rPr>
          <w:rFonts w:hint="eastAsia" w:ascii="Times New Roman" w:hAnsi="Times New Roman" w:cs="Times New Roman"/>
          <w:sz w:val="32"/>
          <w:szCs w:val="32"/>
        </w:rPr>
        <w:t>0.2</w:t>
      </w:r>
      <w:r>
        <w:rPr>
          <w:rFonts w:hint="eastAsia"/>
          <w:sz w:val="32"/>
          <w:szCs w:val="32"/>
        </w:rPr>
        <w:t>万元，减少3.08%，变动原因：学院本着</w:t>
      </w:r>
      <w:r>
        <w:rPr>
          <w:sz w:val="32"/>
          <w:szCs w:val="32"/>
        </w:rPr>
        <w:t>“</w:t>
      </w:r>
      <w:r>
        <w:rPr>
          <w:rFonts w:hint="eastAsia"/>
          <w:sz w:val="32"/>
          <w:szCs w:val="32"/>
        </w:rPr>
        <w:t>勤俭节约</w:t>
      </w:r>
      <w:r>
        <w:rPr>
          <w:sz w:val="32"/>
          <w:szCs w:val="32"/>
        </w:rPr>
        <w:t>”</w:t>
      </w:r>
      <w:r>
        <w:rPr>
          <w:rFonts w:hint="eastAsia"/>
          <w:sz w:val="32"/>
          <w:szCs w:val="32"/>
        </w:rPr>
        <w:t>原则，严格执行相关规定，控制相关经费支出。</w:t>
      </w:r>
    </w:p>
    <w:p>
      <w:pPr>
        <w:spacing w:before="100" w:beforeAutospacing="1" w:after="100" w:afterAutospacing="1" w:line="600" w:lineRule="atLeast"/>
        <w:ind w:firstLine="643"/>
        <w:jc w:val="both"/>
      </w:pPr>
      <w:r>
        <w:rPr>
          <w:rFonts w:hint="eastAsia" w:ascii="黑体" w:hAnsi="黑体" w:eastAsia="黑体"/>
          <w:b/>
          <w:bCs/>
          <w:color w:val="000000"/>
          <w:sz w:val="32"/>
          <w:szCs w:val="32"/>
        </w:rPr>
        <w:t>九、</w:t>
      </w:r>
      <w:r>
        <w:rPr>
          <w:rFonts w:hint="eastAsia" w:ascii="黑体" w:hAnsi="黑体" w:eastAsia="黑体"/>
          <w:b/>
          <w:bCs/>
          <w:sz w:val="32"/>
          <w:szCs w:val="32"/>
        </w:rPr>
        <w:t>政府性基金预算财政拨款支出决算情况说明</w:t>
      </w:r>
    </w:p>
    <w:p>
      <w:pPr>
        <w:spacing w:before="100" w:beforeAutospacing="1" w:after="100" w:afterAutospacing="1" w:line="560" w:lineRule="atLeast"/>
        <w:ind w:firstLine="640"/>
        <w:jc w:val="both"/>
      </w:pPr>
      <w:r>
        <w:rPr>
          <w:rFonts w:hint="eastAsia"/>
          <w:sz w:val="32"/>
          <w:szCs w:val="32"/>
        </w:rPr>
        <w:t>呼伦贝尔职业技术学院部门2022年度政府性基金支出决算</w:t>
      </w:r>
      <w:r>
        <w:rPr>
          <w:rFonts w:hint="eastAsia" w:ascii="Times New Roman" w:hAnsi="Times New Roman" w:cs="Times New Roman"/>
          <w:sz w:val="32"/>
          <w:szCs w:val="32"/>
        </w:rPr>
        <w:t>5000</w:t>
      </w:r>
      <w:r>
        <w:rPr>
          <w:rFonts w:hint="eastAsia"/>
          <w:sz w:val="32"/>
          <w:szCs w:val="32"/>
        </w:rPr>
        <w:t>万元。与上年决算相比，增加</w:t>
      </w:r>
      <w:r>
        <w:rPr>
          <w:rFonts w:hint="eastAsia" w:ascii="Times New Roman" w:hAnsi="Times New Roman" w:cs="Times New Roman"/>
          <w:sz w:val="32"/>
          <w:szCs w:val="32"/>
        </w:rPr>
        <w:t>5000</w:t>
      </w:r>
      <w:r>
        <w:rPr>
          <w:rFonts w:hint="eastAsia"/>
          <w:sz w:val="32"/>
          <w:szCs w:val="32"/>
        </w:rPr>
        <w:t>万元，因上年数据为0，增长率无法计算。变动原因：2022年下达并使用专项债券资金5000万元用于南区教学实训楼项目。其中：</w:t>
      </w:r>
    </w:p>
    <w:p>
      <w:pPr>
        <w:spacing w:before="100" w:beforeAutospacing="1" w:after="100" w:afterAutospacing="1" w:line="560" w:lineRule="atLeast"/>
        <w:ind w:firstLine="640"/>
        <w:jc w:val="both"/>
      </w:pPr>
      <w:r>
        <w:rPr>
          <w:rFonts w:hint="eastAsia"/>
          <w:sz w:val="32"/>
          <w:szCs w:val="32"/>
        </w:rPr>
        <w:t>（一）其他支出（类）其他政府性基金及对应专项债务收入安排的支出（款）其他地方自行试点项目收益专项债券收入安排的支出（项）支出</w:t>
      </w:r>
      <w:r>
        <w:rPr>
          <w:rFonts w:hint="eastAsia" w:ascii="Times New Roman" w:hAnsi="Times New Roman" w:cs="Times New Roman"/>
          <w:sz w:val="32"/>
          <w:szCs w:val="32"/>
        </w:rPr>
        <w:t>5000</w:t>
      </w:r>
      <w:r>
        <w:rPr>
          <w:rFonts w:hint="eastAsia"/>
          <w:sz w:val="32"/>
          <w:szCs w:val="32"/>
        </w:rPr>
        <w:t>万元，主要用于学院南区教学实训楼项目。</w:t>
      </w:r>
    </w:p>
    <w:p>
      <w:pPr>
        <w:spacing w:before="100" w:beforeAutospacing="1" w:after="100" w:afterAutospacing="1" w:line="600" w:lineRule="atLeast"/>
        <w:ind w:firstLine="643"/>
        <w:jc w:val="both"/>
      </w:pPr>
      <w:r>
        <w:rPr>
          <w:rFonts w:hint="eastAsia" w:ascii="黑体" w:hAnsi="黑体" w:eastAsia="黑体"/>
          <w:b/>
          <w:bCs/>
          <w:color w:val="000000"/>
          <w:sz w:val="32"/>
          <w:szCs w:val="32"/>
        </w:rPr>
        <w:t>十、</w:t>
      </w:r>
      <w:r>
        <w:rPr>
          <w:rFonts w:hint="eastAsia" w:ascii="黑体" w:hAnsi="黑体" w:eastAsia="黑体"/>
          <w:b/>
          <w:bCs/>
          <w:sz w:val="32"/>
          <w:szCs w:val="32"/>
        </w:rPr>
        <w:t>国有资本经营预算财政拨款支出决算情况说明</w:t>
      </w:r>
    </w:p>
    <w:p>
      <w:pPr>
        <w:spacing w:before="100" w:beforeAutospacing="1" w:after="100" w:afterAutospacing="1" w:line="560" w:lineRule="atLeast"/>
        <w:ind w:firstLine="640"/>
        <w:jc w:val="both"/>
      </w:pPr>
      <w:r>
        <w:rPr>
          <w:rFonts w:hint="eastAsia"/>
          <w:sz w:val="32"/>
          <w:szCs w:val="32"/>
        </w:rPr>
        <w:t>呼伦贝尔职业技术学院部门2022年度国有资本经营预算支出决算</w:t>
      </w:r>
      <w:r>
        <w:rPr>
          <w:rFonts w:hint="eastAsia" w:ascii="Times New Roman" w:hAnsi="Times New Roman" w:cs="Times New Roman"/>
          <w:sz w:val="32"/>
          <w:szCs w:val="32"/>
        </w:rPr>
        <w:t>0</w:t>
      </w:r>
      <w:r>
        <w:rPr>
          <w:rFonts w:hint="eastAsia"/>
          <w:sz w:val="32"/>
          <w:szCs w:val="32"/>
        </w:rPr>
        <w:t>万元。与上年决算相比，增加</w:t>
      </w:r>
      <w:r>
        <w:rPr>
          <w:rFonts w:hint="eastAsia" w:ascii="Times New Roman" w:hAnsi="Times New Roman" w:cs="Times New Roman"/>
          <w:sz w:val="32"/>
          <w:szCs w:val="32"/>
        </w:rPr>
        <w:t>0</w:t>
      </w:r>
      <w:r>
        <w:rPr>
          <w:rFonts w:hint="eastAsia"/>
          <w:sz w:val="32"/>
          <w:szCs w:val="32"/>
        </w:rPr>
        <w:t>万元，增长</w:t>
      </w:r>
      <w:r>
        <w:rPr>
          <w:rFonts w:hint="eastAsia" w:ascii="Times New Roman" w:hAnsi="Times New Roman" w:cs="Times New Roman"/>
          <w:sz w:val="32"/>
          <w:szCs w:val="32"/>
        </w:rPr>
        <w:t>0</w:t>
      </w:r>
      <w:r>
        <w:rPr>
          <w:rFonts w:hint="eastAsia"/>
          <w:sz w:val="32"/>
          <w:szCs w:val="32"/>
        </w:rPr>
        <w:t>%，变动原因：本年无国有资本经营预算财政拨款收、支、余。</w:t>
      </w:r>
    </w:p>
    <w:p>
      <w:pPr>
        <w:keepNext/>
        <w:spacing w:before="100" w:beforeAutospacing="1" w:after="100" w:afterAutospacing="1" w:line="600" w:lineRule="atLeast"/>
        <w:ind w:firstLine="643"/>
        <w:jc w:val="both"/>
      </w:pPr>
      <w:r>
        <w:rPr>
          <w:rFonts w:hint="eastAsia" w:ascii="黑体" w:hAnsi="黑体" w:eastAsia="黑体"/>
          <w:b/>
          <w:bCs/>
          <w:color w:val="000000"/>
          <w:sz w:val="32"/>
          <w:szCs w:val="32"/>
        </w:rPr>
        <w:t>十一、</w:t>
      </w:r>
      <w:r>
        <w:rPr>
          <w:rFonts w:hint="eastAsia" w:ascii="黑体" w:hAnsi="黑体" w:eastAsia="黑体"/>
          <w:b/>
          <w:bCs/>
          <w:sz w:val="32"/>
          <w:szCs w:val="32"/>
        </w:rPr>
        <w:t>项目支出决算情况说明</w:t>
      </w:r>
    </w:p>
    <w:p>
      <w:pPr>
        <w:spacing w:before="100" w:beforeAutospacing="1" w:after="100" w:afterAutospacing="1" w:line="560" w:lineRule="atLeast"/>
        <w:ind w:firstLine="640"/>
        <w:jc w:val="both"/>
      </w:pPr>
      <w:r>
        <w:rPr>
          <w:rFonts w:hint="eastAsia"/>
          <w:sz w:val="32"/>
          <w:szCs w:val="32"/>
        </w:rPr>
        <w:t>呼伦贝尔职业技术学院部门2022年度预算安排项目</w:t>
      </w:r>
      <w:r>
        <w:rPr>
          <w:rFonts w:ascii="Times New Roman" w:hAnsi="Times New Roman" w:cs="Times New Roman"/>
          <w:sz w:val="32"/>
          <w:szCs w:val="32"/>
          <w:u w:val="single"/>
        </w:rPr>
        <w:t xml:space="preserve">    </w:t>
      </w:r>
      <w:r>
        <w:rPr>
          <w:rFonts w:hint="eastAsia" w:ascii="Times New Roman" w:hAnsi="Times New Roman" w:cs="Times New Roman"/>
          <w:sz w:val="32"/>
          <w:szCs w:val="32"/>
        </w:rPr>
        <w:t>12</w:t>
      </w:r>
      <w:r>
        <w:rPr>
          <w:rFonts w:hint="eastAsia"/>
          <w:sz w:val="32"/>
          <w:szCs w:val="32"/>
        </w:rPr>
        <w:t>个，实施项目</w:t>
      </w:r>
      <w:r>
        <w:rPr>
          <w:rFonts w:hint="eastAsia" w:ascii="Times New Roman" w:hAnsi="Times New Roman" w:cs="Times New Roman"/>
          <w:sz w:val="32"/>
          <w:szCs w:val="32"/>
        </w:rPr>
        <w:t>25</w:t>
      </w:r>
      <w:r>
        <w:rPr>
          <w:rFonts w:hint="eastAsia"/>
          <w:sz w:val="32"/>
          <w:szCs w:val="32"/>
        </w:rPr>
        <w:t>个，完成项目</w:t>
      </w:r>
      <w:r>
        <w:rPr>
          <w:rFonts w:hint="eastAsia" w:ascii="Times New Roman" w:hAnsi="Times New Roman" w:cs="Times New Roman"/>
          <w:sz w:val="32"/>
          <w:szCs w:val="32"/>
        </w:rPr>
        <w:t>25</w:t>
      </w:r>
      <w:r>
        <w:rPr>
          <w:rFonts w:hint="eastAsia"/>
          <w:sz w:val="32"/>
          <w:szCs w:val="32"/>
        </w:rPr>
        <w:t>个，项目支出总金额</w:t>
      </w:r>
      <w:r>
        <w:rPr>
          <w:rFonts w:ascii="Times New Roman" w:hAnsi="Times New Roman" w:cs="Times New Roman"/>
          <w:sz w:val="32"/>
          <w:szCs w:val="32"/>
        </w:rPr>
        <w:t xml:space="preserve">    </w:t>
      </w:r>
      <w:r>
        <w:rPr>
          <w:rFonts w:hint="eastAsia" w:ascii="Times New Roman" w:hAnsi="Times New Roman" w:cs="Times New Roman"/>
          <w:sz w:val="32"/>
          <w:szCs w:val="32"/>
        </w:rPr>
        <w:t>7757.59</w:t>
      </w:r>
      <w:r>
        <w:rPr>
          <w:rFonts w:hint="eastAsia"/>
          <w:sz w:val="32"/>
          <w:szCs w:val="32"/>
        </w:rPr>
        <w:t>万元。资金来源包括年初结转结余</w:t>
      </w:r>
      <w:r>
        <w:rPr>
          <w:rFonts w:hint="eastAsia" w:ascii="Times New Roman" w:hAnsi="Times New Roman" w:cs="Times New Roman"/>
          <w:sz w:val="32"/>
          <w:szCs w:val="32"/>
        </w:rPr>
        <w:t>0</w:t>
      </w:r>
      <w:r>
        <w:rPr>
          <w:rFonts w:hint="eastAsia"/>
          <w:sz w:val="32"/>
          <w:szCs w:val="32"/>
        </w:rPr>
        <w:t>万元，本年财政拨款金额</w:t>
      </w:r>
      <w:r>
        <w:rPr>
          <w:rFonts w:hint="eastAsia" w:ascii="Times New Roman" w:hAnsi="Times New Roman" w:cs="Times New Roman"/>
          <w:sz w:val="32"/>
          <w:szCs w:val="32"/>
        </w:rPr>
        <w:t>7757.59</w:t>
      </w:r>
      <w:r>
        <w:rPr>
          <w:rFonts w:hint="eastAsia"/>
          <w:sz w:val="32"/>
          <w:szCs w:val="32"/>
        </w:rPr>
        <w:t>万元，本年其他资金</w:t>
      </w:r>
      <w:r>
        <w:rPr>
          <w:rFonts w:hint="eastAsia" w:ascii="Times New Roman" w:hAnsi="Times New Roman" w:cs="Times New Roman"/>
          <w:sz w:val="32"/>
          <w:szCs w:val="32"/>
        </w:rPr>
        <w:t>0</w:t>
      </w:r>
      <w:r>
        <w:rPr>
          <w:rFonts w:hint="eastAsia"/>
          <w:sz w:val="32"/>
          <w:szCs w:val="32"/>
        </w:rPr>
        <w:t>万元。</w:t>
      </w:r>
    </w:p>
    <w:p>
      <w:pPr>
        <w:spacing w:before="100" w:beforeAutospacing="1" w:after="100" w:afterAutospacing="1" w:line="600" w:lineRule="atLeast"/>
        <w:ind w:firstLine="643"/>
        <w:jc w:val="both"/>
      </w:pPr>
      <w:r>
        <w:rPr>
          <w:rFonts w:hint="eastAsia" w:ascii="黑体" w:hAnsi="黑体" w:eastAsia="黑体"/>
          <w:b/>
          <w:bCs/>
          <w:color w:val="000000"/>
          <w:sz w:val="32"/>
          <w:szCs w:val="32"/>
        </w:rPr>
        <w:t>十二、</w:t>
      </w:r>
      <w:r>
        <w:rPr>
          <w:rFonts w:hint="eastAsia" w:ascii="黑体" w:hAnsi="黑体" w:eastAsia="黑体"/>
          <w:b/>
          <w:bCs/>
          <w:sz w:val="32"/>
          <w:szCs w:val="32"/>
        </w:rPr>
        <w:t>机构运行经费支出决算情况说明</w:t>
      </w:r>
    </w:p>
    <w:p>
      <w:pPr>
        <w:spacing w:before="100" w:beforeAutospacing="1" w:after="100" w:afterAutospacing="1" w:line="560" w:lineRule="atLeast"/>
        <w:ind w:firstLine="640"/>
        <w:jc w:val="both"/>
      </w:pPr>
      <w:r>
        <w:rPr>
          <w:rFonts w:hint="eastAsia"/>
          <w:sz w:val="32"/>
          <w:szCs w:val="32"/>
        </w:rPr>
        <w:t>呼伦贝尔职业技术学院部门2022年度机构运行经费支出决算</w:t>
      </w:r>
      <w:r>
        <w:rPr>
          <w:rFonts w:hint="eastAsia" w:ascii="Times New Roman" w:hAnsi="Times New Roman" w:cs="Times New Roman"/>
          <w:sz w:val="32"/>
          <w:szCs w:val="32"/>
        </w:rPr>
        <w:t>1720.83</w:t>
      </w:r>
      <w:r>
        <w:rPr>
          <w:rFonts w:hint="eastAsia"/>
          <w:sz w:val="32"/>
          <w:szCs w:val="32"/>
        </w:rPr>
        <w:t>万元。比上年决算相比，减少</w:t>
      </w:r>
      <w:r>
        <w:rPr>
          <w:rFonts w:hint="eastAsia" w:ascii="Times New Roman" w:hAnsi="Times New Roman" w:cs="Times New Roman"/>
          <w:sz w:val="32"/>
          <w:szCs w:val="32"/>
        </w:rPr>
        <w:t>256.46</w:t>
      </w:r>
      <w:r>
        <w:rPr>
          <w:rFonts w:hint="eastAsia"/>
          <w:sz w:val="32"/>
          <w:szCs w:val="32"/>
        </w:rPr>
        <w:t>万元，减少12.97%，变动原因：统计口径发生变化，本年机构运行经费支出不包含体育场馆经费，上年机构运行经费中包含体育场馆经费。</w:t>
      </w:r>
    </w:p>
    <w:p>
      <w:pPr>
        <w:spacing w:before="100" w:beforeAutospacing="1" w:after="100" w:afterAutospacing="1" w:line="600" w:lineRule="atLeast"/>
        <w:ind w:firstLine="643"/>
        <w:jc w:val="both"/>
      </w:pPr>
      <w:r>
        <w:rPr>
          <w:rFonts w:hint="eastAsia" w:ascii="黑体" w:hAnsi="黑体" w:eastAsia="黑体"/>
          <w:b/>
          <w:bCs/>
          <w:color w:val="000000"/>
          <w:sz w:val="32"/>
          <w:szCs w:val="32"/>
        </w:rPr>
        <w:t>十三、</w:t>
      </w:r>
      <w:r>
        <w:rPr>
          <w:rFonts w:hint="eastAsia" w:ascii="黑体" w:hAnsi="黑体" w:eastAsia="黑体"/>
          <w:b/>
          <w:bCs/>
          <w:sz w:val="32"/>
          <w:szCs w:val="32"/>
        </w:rPr>
        <w:t>政府采购支出决算情况说明</w:t>
      </w:r>
    </w:p>
    <w:p>
      <w:pPr>
        <w:spacing w:before="100" w:beforeAutospacing="1" w:after="100" w:afterAutospacing="1" w:line="560" w:lineRule="atLeast"/>
        <w:ind w:firstLine="640"/>
        <w:jc w:val="both"/>
      </w:pPr>
      <w:r>
        <w:rPr>
          <w:rFonts w:hint="eastAsia"/>
          <w:sz w:val="32"/>
          <w:szCs w:val="32"/>
        </w:rPr>
        <w:t>呼伦贝尔职业技术学院部门2022年度政府采购支出总额</w:t>
      </w:r>
      <w:r>
        <w:rPr>
          <w:rFonts w:hint="eastAsia" w:ascii="Times New Roman" w:hAnsi="Times New Roman" w:cs="Times New Roman"/>
          <w:sz w:val="32"/>
          <w:szCs w:val="32"/>
        </w:rPr>
        <w:t>786.66</w:t>
      </w:r>
      <w:r>
        <w:rPr>
          <w:rFonts w:hint="eastAsia"/>
          <w:sz w:val="32"/>
          <w:szCs w:val="32"/>
        </w:rPr>
        <w:t>万元，其中：政府采购货物支出</w:t>
      </w:r>
      <w:r>
        <w:rPr>
          <w:rFonts w:hint="eastAsia" w:ascii="Times New Roman" w:hAnsi="Times New Roman" w:cs="Times New Roman"/>
          <w:sz w:val="32"/>
          <w:szCs w:val="32"/>
        </w:rPr>
        <w:t>557.61</w:t>
      </w:r>
      <w:r>
        <w:rPr>
          <w:rFonts w:hint="eastAsia"/>
          <w:sz w:val="32"/>
          <w:szCs w:val="32"/>
        </w:rPr>
        <w:t>万元、政府采购工程支出</w:t>
      </w:r>
      <w:r>
        <w:rPr>
          <w:rFonts w:hint="eastAsia" w:ascii="Times New Roman" w:hAnsi="Times New Roman" w:cs="Times New Roman"/>
          <w:sz w:val="32"/>
          <w:szCs w:val="32"/>
        </w:rPr>
        <w:t>0</w:t>
      </w:r>
      <w:r>
        <w:rPr>
          <w:rFonts w:hint="eastAsia"/>
          <w:sz w:val="32"/>
          <w:szCs w:val="32"/>
        </w:rPr>
        <w:t>万元、政府采购服务支出</w:t>
      </w:r>
      <w:r>
        <w:rPr>
          <w:rFonts w:hint="eastAsia" w:ascii="Times New Roman" w:hAnsi="Times New Roman" w:cs="Times New Roman"/>
          <w:sz w:val="32"/>
          <w:szCs w:val="32"/>
        </w:rPr>
        <w:t>229.05</w:t>
      </w:r>
      <w:r>
        <w:rPr>
          <w:rFonts w:hint="eastAsia"/>
          <w:sz w:val="32"/>
          <w:szCs w:val="32"/>
        </w:rPr>
        <w:t>万元。授予中小企业合同金额</w:t>
      </w:r>
      <w:r>
        <w:rPr>
          <w:rFonts w:hint="eastAsia" w:ascii="Times New Roman" w:hAnsi="Times New Roman" w:cs="Times New Roman"/>
          <w:sz w:val="32"/>
          <w:szCs w:val="32"/>
        </w:rPr>
        <w:t>786.66</w:t>
      </w:r>
      <w:r>
        <w:rPr>
          <w:rFonts w:hint="eastAsia"/>
          <w:sz w:val="32"/>
          <w:szCs w:val="32"/>
        </w:rPr>
        <w:t>万元，占政府采购支出总额的</w:t>
      </w:r>
      <w:r>
        <w:rPr>
          <w:rFonts w:hint="eastAsia" w:ascii="Times New Roman" w:hAnsi="Times New Roman" w:cs="Times New Roman"/>
          <w:sz w:val="32"/>
          <w:szCs w:val="32"/>
        </w:rPr>
        <w:t>100</w:t>
      </w:r>
      <w:r>
        <w:rPr>
          <w:rFonts w:hint="eastAsia"/>
          <w:sz w:val="32"/>
          <w:szCs w:val="32"/>
        </w:rPr>
        <w:t>%，其中：授予小微企业合同金额</w:t>
      </w:r>
      <w:r>
        <w:rPr>
          <w:rFonts w:hint="eastAsia" w:ascii="Times New Roman" w:hAnsi="Times New Roman" w:cs="Times New Roman"/>
          <w:sz w:val="32"/>
          <w:szCs w:val="32"/>
        </w:rPr>
        <w:t>0</w:t>
      </w:r>
      <w:r>
        <w:rPr>
          <w:rFonts w:hint="eastAsia"/>
          <w:sz w:val="32"/>
          <w:szCs w:val="32"/>
        </w:rPr>
        <w:t>万元，占授予中小企业合同金额的</w:t>
      </w:r>
      <w:r>
        <w:rPr>
          <w:rFonts w:hint="eastAsia" w:ascii="Times New Roman" w:hAnsi="Times New Roman" w:cs="Times New Roman"/>
          <w:sz w:val="32"/>
          <w:szCs w:val="32"/>
        </w:rPr>
        <w:t>0</w:t>
      </w:r>
      <w:r>
        <w:rPr>
          <w:rFonts w:hint="eastAsia"/>
          <w:sz w:val="32"/>
          <w:szCs w:val="32"/>
        </w:rPr>
        <w:t>%；</w:t>
      </w:r>
      <w:r>
        <w:rPr>
          <w:rFonts w:hint="eastAsia"/>
          <w:color w:val="000000"/>
          <w:sz w:val="32"/>
          <w:szCs w:val="32"/>
        </w:rPr>
        <w:t>货物采购授予中小企业合同金额占货物支出合同金额的</w:t>
      </w:r>
      <w:r>
        <w:rPr>
          <w:rFonts w:hint="eastAsia" w:ascii="Times New Roman" w:hAnsi="Times New Roman" w:cs="Times New Roman"/>
          <w:sz w:val="32"/>
          <w:szCs w:val="32"/>
        </w:rPr>
        <w:t>70.88</w:t>
      </w:r>
      <w:r>
        <w:rPr>
          <w:rFonts w:hint="eastAsia"/>
          <w:color w:val="000000"/>
          <w:sz w:val="32"/>
          <w:szCs w:val="32"/>
        </w:rPr>
        <w:t>%，工程采购授予中小企业合同金额占工程支出合同金额的</w:t>
      </w:r>
      <w:r>
        <w:rPr>
          <w:rFonts w:hint="eastAsia" w:ascii="Times New Roman" w:hAnsi="Times New Roman" w:cs="Times New Roman"/>
          <w:sz w:val="32"/>
          <w:szCs w:val="32"/>
        </w:rPr>
        <w:t>0</w:t>
      </w:r>
      <w:r>
        <w:rPr>
          <w:rFonts w:hint="eastAsia"/>
          <w:color w:val="000000"/>
          <w:sz w:val="32"/>
          <w:szCs w:val="32"/>
        </w:rPr>
        <w:t>%，服务采购授予中小企业合同金额占服务支出合同金额的</w:t>
      </w:r>
      <w:r>
        <w:rPr>
          <w:rFonts w:hint="eastAsia" w:ascii="Times New Roman" w:hAnsi="Times New Roman" w:cs="Times New Roman"/>
          <w:sz w:val="32"/>
          <w:szCs w:val="32"/>
        </w:rPr>
        <w:t>29.12</w:t>
      </w:r>
      <w:r>
        <w:rPr>
          <w:rFonts w:hint="eastAsia"/>
          <w:color w:val="000000"/>
          <w:sz w:val="32"/>
          <w:szCs w:val="32"/>
        </w:rPr>
        <w:t>%。</w:t>
      </w:r>
    </w:p>
    <w:p>
      <w:pPr>
        <w:keepNext/>
        <w:spacing w:before="100" w:beforeAutospacing="1" w:after="100" w:afterAutospacing="1" w:line="600" w:lineRule="atLeast"/>
        <w:ind w:firstLine="643"/>
        <w:jc w:val="both"/>
      </w:pPr>
      <w:r>
        <w:rPr>
          <w:rFonts w:hint="eastAsia" w:ascii="黑体" w:hAnsi="黑体" w:eastAsia="黑体"/>
          <w:b/>
          <w:bCs/>
          <w:color w:val="000000"/>
          <w:sz w:val="32"/>
          <w:szCs w:val="32"/>
        </w:rPr>
        <w:t>十四、</w:t>
      </w:r>
      <w:r>
        <w:rPr>
          <w:rFonts w:hint="eastAsia" w:ascii="黑体" w:hAnsi="黑体" w:eastAsia="黑体"/>
          <w:b/>
          <w:bCs/>
          <w:sz w:val="32"/>
          <w:szCs w:val="32"/>
        </w:rPr>
        <w:t>国有资产占用情况说明</w:t>
      </w:r>
    </w:p>
    <w:p>
      <w:pPr>
        <w:spacing w:before="100" w:beforeAutospacing="1" w:after="100" w:afterAutospacing="1" w:line="560" w:lineRule="atLeast"/>
        <w:ind w:firstLine="640"/>
        <w:jc w:val="both"/>
      </w:pPr>
      <w:r>
        <w:rPr>
          <w:rFonts w:hint="eastAsia"/>
          <w:sz w:val="32"/>
          <w:szCs w:val="32"/>
        </w:rPr>
        <w:t>呼伦贝尔职业技术学院部门截至</w:t>
      </w:r>
      <w:r>
        <w:rPr>
          <w:rFonts w:ascii="Times New Roman" w:hAnsi="Times New Roman" w:cs="Times New Roman"/>
          <w:sz w:val="32"/>
          <w:szCs w:val="32"/>
        </w:rPr>
        <w:t>2022</w:t>
      </w:r>
      <w:r>
        <w:rPr>
          <w:rFonts w:hint="eastAsia"/>
          <w:sz w:val="32"/>
          <w:szCs w:val="32"/>
        </w:rPr>
        <w:t>年</w:t>
      </w:r>
      <w:r>
        <w:rPr>
          <w:rFonts w:ascii="Times New Roman" w:hAnsi="Times New Roman" w:cs="Times New Roman"/>
          <w:sz w:val="32"/>
          <w:szCs w:val="32"/>
        </w:rPr>
        <w:t>12</w:t>
      </w:r>
      <w:r>
        <w:rPr>
          <w:rFonts w:hint="eastAsia"/>
          <w:sz w:val="32"/>
          <w:szCs w:val="32"/>
        </w:rPr>
        <w:t>月</w:t>
      </w:r>
      <w:r>
        <w:rPr>
          <w:rFonts w:ascii="Times New Roman" w:hAnsi="Times New Roman" w:cs="Times New Roman"/>
          <w:sz w:val="32"/>
          <w:szCs w:val="32"/>
        </w:rPr>
        <w:t>31</w:t>
      </w:r>
      <w:r>
        <w:rPr>
          <w:rFonts w:hint="eastAsia"/>
          <w:sz w:val="32"/>
          <w:szCs w:val="32"/>
        </w:rPr>
        <w:t>日，本部门共有车辆</w:t>
      </w:r>
      <w:r>
        <w:rPr>
          <w:rFonts w:hint="eastAsia" w:ascii="Times New Roman" w:hAnsi="Times New Roman" w:cs="Times New Roman"/>
          <w:sz w:val="32"/>
          <w:szCs w:val="32"/>
        </w:rPr>
        <w:t>16</w:t>
      </w:r>
      <w:r>
        <w:rPr>
          <w:rFonts w:hint="eastAsia"/>
          <w:sz w:val="32"/>
          <w:szCs w:val="32"/>
        </w:rPr>
        <w:t>辆，其中：副部（省）级及以上领导用车</w:t>
      </w:r>
      <w:r>
        <w:rPr>
          <w:rFonts w:hint="eastAsia" w:ascii="Times New Roman" w:hAnsi="Times New Roman" w:cs="Times New Roman"/>
          <w:sz w:val="32"/>
          <w:szCs w:val="32"/>
        </w:rPr>
        <w:t>0</w:t>
      </w:r>
      <w:r>
        <w:rPr>
          <w:rFonts w:hint="eastAsia"/>
          <w:sz w:val="32"/>
          <w:szCs w:val="32"/>
        </w:rPr>
        <w:t>辆、主要领导干部用车</w:t>
      </w:r>
      <w:r>
        <w:rPr>
          <w:rFonts w:hint="eastAsia" w:ascii="Times New Roman" w:hAnsi="Times New Roman" w:cs="Times New Roman"/>
          <w:sz w:val="32"/>
          <w:szCs w:val="32"/>
        </w:rPr>
        <w:t>0</w:t>
      </w:r>
      <w:r>
        <w:rPr>
          <w:rFonts w:hint="eastAsia"/>
          <w:sz w:val="32"/>
          <w:szCs w:val="32"/>
        </w:rPr>
        <w:t>辆、机要通信用车</w:t>
      </w:r>
      <w:r>
        <w:rPr>
          <w:rFonts w:hint="eastAsia" w:ascii="Times New Roman" w:hAnsi="Times New Roman" w:cs="Times New Roman"/>
          <w:sz w:val="32"/>
          <w:szCs w:val="32"/>
        </w:rPr>
        <w:t>0</w:t>
      </w:r>
      <w:r>
        <w:rPr>
          <w:rFonts w:hint="eastAsia"/>
          <w:sz w:val="32"/>
          <w:szCs w:val="32"/>
        </w:rPr>
        <w:t>辆、应急保障用车</w:t>
      </w:r>
      <w:r>
        <w:rPr>
          <w:rFonts w:hint="eastAsia" w:ascii="Times New Roman" w:hAnsi="Times New Roman" w:cs="Times New Roman"/>
          <w:sz w:val="32"/>
          <w:szCs w:val="32"/>
        </w:rPr>
        <w:t>0</w:t>
      </w:r>
      <w:r>
        <w:rPr>
          <w:rFonts w:hint="eastAsia"/>
          <w:sz w:val="32"/>
          <w:szCs w:val="32"/>
        </w:rPr>
        <w:t>辆、执法执勤用车</w:t>
      </w:r>
      <w:r>
        <w:rPr>
          <w:rFonts w:hint="eastAsia" w:ascii="Times New Roman" w:hAnsi="Times New Roman" w:cs="Times New Roman"/>
          <w:sz w:val="32"/>
          <w:szCs w:val="32"/>
        </w:rPr>
        <w:t>0</w:t>
      </w:r>
      <w:r>
        <w:rPr>
          <w:rFonts w:hint="eastAsia"/>
          <w:sz w:val="32"/>
          <w:szCs w:val="32"/>
        </w:rPr>
        <w:t>辆、特种专业技术用车</w:t>
      </w:r>
      <w:r>
        <w:rPr>
          <w:rFonts w:hint="eastAsia" w:ascii="Times New Roman" w:hAnsi="Times New Roman" w:cs="Times New Roman"/>
          <w:sz w:val="32"/>
          <w:szCs w:val="32"/>
        </w:rPr>
        <w:t>3</w:t>
      </w:r>
      <w:r>
        <w:rPr>
          <w:rFonts w:hint="eastAsia"/>
          <w:sz w:val="32"/>
          <w:szCs w:val="32"/>
        </w:rPr>
        <w:t>辆、离退休干部用车</w:t>
      </w:r>
      <w:r>
        <w:rPr>
          <w:rFonts w:hint="eastAsia" w:ascii="Times New Roman" w:hAnsi="Times New Roman" w:cs="Times New Roman"/>
          <w:sz w:val="32"/>
          <w:szCs w:val="32"/>
        </w:rPr>
        <w:t>0</w:t>
      </w:r>
      <w:r>
        <w:rPr>
          <w:rFonts w:hint="eastAsia"/>
          <w:sz w:val="32"/>
          <w:szCs w:val="32"/>
        </w:rPr>
        <w:t>辆，其他用车</w:t>
      </w:r>
      <w:r>
        <w:rPr>
          <w:rFonts w:hint="eastAsia" w:ascii="Times New Roman" w:hAnsi="Times New Roman" w:cs="Times New Roman"/>
          <w:sz w:val="32"/>
          <w:szCs w:val="32"/>
        </w:rPr>
        <w:t>13</w:t>
      </w:r>
      <w:r>
        <w:rPr>
          <w:rFonts w:hint="eastAsia"/>
          <w:sz w:val="32"/>
          <w:szCs w:val="32"/>
        </w:rPr>
        <w:t>辆；单价</w:t>
      </w:r>
      <w:r>
        <w:rPr>
          <w:rFonts w:ascii="Times New Roman" w:hAnsi="Times New Roman" w:cs="Times New Roman"/>
          <w:sz w:val="32"/>
          <w:szCs w:val="32"/>
        </w:rPr>
        <w:t>100</w:t>
      </w:r>
      <w:r>
        <w:rPr>
          <w:rFonts w:hint="eastAsia"/>
          <w:sz w:val="32"/>
          <w:szCs w:val="32"/>
        </w:rPr>
        <w:t>万元（含）以上的设备（不含车辆）</w:t>
      </w:r>
      <w:r>
        <w:rPr>
          <w:rFonts w:hint="eastAsia" w:ascii="Times New Roman" w:hAnsi="Times New Roman" w:cs="Times New Roman"/>
          <w:sz w:val="32"/>
          <w:szCs w:val="32"/>
        </w:rPr>
        <w:t>2</w:t>
      </w:r>
      <w:r>
        <w:rPr>
          <w:rFonts w:hint="eastAsia"/>
          <w:sz w:val="32"/>
          <w:szCs w:val="32"/>
        </w:rPr>
        <w:t>台（套）。</w:t>
      </w:r>
    </w:p>
    <w:p>
      <w:pPr>
        <w:spacing w:before="100" w:beforeAutospacing="1" w:after="100" w:afterAutospacing="1" w:line="600" w:lineRule="atLeast"/>
        <w:ind w:firstLine="643"/>
        <w:jc w:val="both"/>
      </w:pPr>
      <w:r>
        <w:rPr>
          <w:rFonts w:hint="eastAsia" w:ascii="黑体" w:hAnsi="黑体" w:eastAsia="黑体"/>
          <w:b/>
          <w:bCs/>
          <w:color w:val="000000"/>
          <w:sz w:val="32"/>
          <w:szCs w:val="32"/>
        </w:rPr>
        <w:t>十五、</w:t>
      </w:r>
      <w:r>
        <w:rPr>
          <w:rFonts w:hint="eastAsia" w:ascii="黑体" w:hAnsi="黑体" w:eastAsia="黑体"/>
          <w:b/>
          <w:bCs/>
          <w:sz w:val="32"/>
          <w:szCs w:val="32"/>
        </w:rPr>
        <w:t>预算绩效情况说明</w:t>
      </w:r>
    </w:p>
    <w:p>
      <w:pPr>
        <w:spacing w:before="100" w:beforeAutospacing="1" w:after="100" w:afterAutospacing="1"/>
        <w:ind w:firstLine="643"/>
        <w:jc w:val="both"/>
      </w:pPr>
      <w:r>
        <w:rPr>
          <w:rFonts w:hint="eastAsia" w:ascii="楷体" w:hAnsi="楷体" w:eastAsia="楷体"/>
          <w:b/>
          <w:bCs/>
          <w:sz w:val="32"/>
          <w:szCs w:val="32"/>
        </w:rPr>
        <w:t>（一）预算绩效管理工作开展情况。</w:t>
      </w:r>
    </w:p>
    <w:p>
      <w:pPr>
        <w:spacing w:before="100" w:beforeAutospacing="1" w:after="100" w:afterAutospacing="1" w:line="560" w:lineRule="atLeast"/>
        <w:ind w:firstLine="640"/>
        <w:jc w:val="both"/>
      </w:pPr>
      <w:r>
        <w:rPr>
          <w:rFonts w:hint="eastAsia"/>
          <w:sz w:val="32"/>
          <w:szCs w:val="32"/>
        </w:rPr>
        <w:t>呼伦贝尔职业技术学院部门根据预算绩效管理要求组织对2022年一般公共预算项目支出全面开展绩效自评，共</w:t>
      </w:r>
      <w:r>
        <w:rPr>
          <w:rFonts w:hint="eastAsia" w:ascii="Times New Roman" w:hAnsi="Times New Roman" w:cs="Times New Roman"/>
          <w:sz w:val="32"/>
          <w:szCs w:val="32"/>
        </w:rPr>
        <w:t>24</w:t>
      </w:r>
      <w:r>
        <w:rPr>
          <w:rFonts w:hint="eastAsia"/>
          <w:sz w:val="32"/>
          <w:szCs w:val="32"/>
        </w:rPr>
        <w:t>个项目，共涉及资金</w:t>
      </w:r>
      <w:r>
        <w:rPr>
          <w:rFonts w:hint="eastAsia" w:ascii="Times New Roman" w:hAnsi="Times New Roman" w:cs="Times New Roman"/>
          <w:sz w:val="32"/>
          <w:szCs w:val="32"/>
        </w:rPr>
        <w:t>2757.59</w:t>
      </w:r>
      <w:r>
        <w:rPr>
          <w:rFonts w:hint="eastAsia"/>
          <w:sz w:val="32"/>
          <w:szCs w:val="32"/>
        </w:rPr>
        <w:t>万元，占一般公共预算项目支出总额的</w:t>
      </w:r>
      <w:r>
        <w:rPr>
          <w:rFonts w:ascii="Times New Roman" w:hAnsi="Times New Roman" w:cs="Times New Roman"/>
          <w:sz w:val="32"/>
          <w:szCs w:val="32"/>
        </w:rPr>
        <w:t>100</w:t>
      </w:r>
      <w:r>
        <w:rPr>
          <w:rFonts w:hint="eastAsia"/>
          <w:sz w:val="32"/>
          <w:szCs w:val="32"/>
        </w:rPr>
        <w:t>%；政府性基金预算项目</w:t>
      </w:r>
      <w:r>
        <w:rPr>
          <w:rFonts w:hint="eastAsia" w:ascii="Times New Roman" w:hAnsi="Times New Roman" w:cs="Times New Roman"/>
          <w:sz w:val="32"/>
          <w:szCs w:val="32"/>
        </w:rPr>
        <w:t>1</w:t>
      </w:r>
      <w:r>
        <w:rPr>
          <w:rFonts w:hint="eastAsia"/>
          <w:sz w:val="32"/>
          <w:szCs w:val="32"/>
        </w:rPr>
        <w:t>个，共涉及资金</w:t>
      </w:r>
      <w:r>
        <w:rPr>
          <w:rFonts w:hint="eastAsia" w:ascii="Times New Roman" w:hAnsi="Times New Roman" w:cs="Times New Roman"/>
          <w:sz w:val="32"/>
          <w:szCs w:val="32"/>
        </w:rPr>
        <w:t>5000</w:t>
      </w:r>
      <w:r>
        <w:rPr>
          <w:rFonts w:hint="eastAsia"/>
          <w:sz w:val="32"/>
          <w:szCs w:val="32"/>
        </w:rPr>
        <w:t>万元，占应纳入绩效自评的政府性基金预算项目支出总额的</w:t>
      </w:r>
      <w:r>
        <w:rPr>
          <w:rFonts w:ascii="Times New Roman" w:hAnsi="Times New Roman" w:cs="Times New Roman"/>
          <w:sz w:val="32"/>
          <w:szCs w:val="32"/>
        </w:rPr>
        <w:t>100</w:t>
      </w:r>
      <w:r>
        <w:rPr>
          <w:rFonts w:hint="eastAsia"/>
          <w:sz w:val="32"/>
          <w:szCs w:val="32"/>
        </w:rPr>
        <w:t>%。</w:t>
      </w:r>
    </w:p>
    <w:p>
      <w:pPr>
        <w:spacing w:before="100" w:beforeAutospacing="1" w:after="100" w:afterAutospacing="1" w:line="560" w:lineRule="atLeast"/>
        <w:ind w:firstLine="640"/>
        <w:jc w:val="both"/>
      </w:pPr>
      <w:r>
        <w:rPr>
          <w:rFonts w:hint="eastAsia"/>
          <w:sz w:val="32"/>
          <w:szCs w:val="32"/>
        </w:rPr>
        <w:t>组织对2022年普通高校学生资助补助经费等</w:t>
      </w:r>
      <w:r>
        <w:rPr>
          <w:rFonts w:hint="eastAsia" w:ascii="Times New Roman" w:hAnsi="Times New Roman" w:cs="Times New Roman"/>
          <w:sz w:val="32"/>
          <w:szCs w:val="32"/>
        </w:rPr>
        <w:t>1</w:t>
      </w:r>
      <w:r>
        <w:rPr>
          <w:rFonts w:hint="eastAsia"/>
          <w:sz w:val="32"/>
          <w:szCs w:val="32"/>
        </w:rPr>
        <w:t>个项目开展了部门评价，涉及一般公共预算支出</w:t>
      </w:r>
      <w:r>
        <w:rPr>
          <w:rFonts w:hint="eastAsia" w:ascii="Times New Roman" w:hAnsi="Times New Roman" w:cs="Times New Roman"/>
          <w:sz w:val="32"/>
          <w:szCs w:val="32"/>
        </w:rPr>
        <w:t>588</w:t>
      </w:r>
      <w:r>
        <w:rPr>
          <w:rFonts w:hint="eastAsia"/>
          <w:sz w:val="32"/>
          <w:szCs w:val="32"/>
        </w:rPr>
        <w:t>万元，政府性基金支出</w:t>
      </w:r>
      <w:r>
        <w:rPr>
          <w:rFonts w:hint="eastAsia" w:ascii="Times New Roman" w:hAnsi="Times New Roman" w:cs="Times New Roman"/>
          <w:sz w:val="32"/>
          <w:szCs w:val="32"/>
        </w:rPr>
        <w:t>0</w:t>
      </w:r>
      <w:r>
        <w:rPr>
          <w:rFonts w:hint="eastAsia"/>
          <w:sz w:val="32"/>
          <w:szCs w:val="32"/>
        </w:rPr>
        <w:t>万元。从评价情况看，以上项目</w:t>
      </w:r>
      <w:r>
        <w:rPr>
          <w:rFonts w:hint="eastAsia" w:ascii="Times New Roman" w:hAnsi="Times New Roman" w:cs="Times New Roman"/>
          <w:sz w:val="32"/>
          <w:szCs w:val="32"/>
        </w:rPr>
        <w:t>产出实际完成率、完成及时率基本达到绩效目标、质量达标率良好，产出成本可控</w:t>
      </w:r>
      <w:r>
        <w:rPr>
          <w:rFonts w:hint="eastAsia"/>
          <w:sz w:val="32"/>
          <w:szCs w:val="32"/>
        </w:rPr>
        <w:t>。</w:t>
      </w:r>
    </w:p>
    <w:p>
      <w:pPr>
        <w:spacing w:before="100" w:beforeAutospacing="1" w:after="100" w:afterAutospacing="1"/>
        <w:ind w:firstLine="643"/>
        <w:jc w:val="both"/>
      </w:pPr>
      <w:r>
        <w:rPr>
          <w:rFonts w:hint="eastAsia" w:ascii="楷体" w:hAnsi="楷体" w:eastAsia="楷体"/>
          <w:b/>
          <w:bCs/>
          <w:sz w:val="32"/>
          <w:szCs w:val="32"/>
        </w:rPr>
        <w:t>（二）部门决算中项目绩效自评结果。</w:t>
      </w:r>
    </w:p>
    <w:p>
      <w:pPr>
        <w:spacing w:before="100" w:beforeAutospacing="1" w:after="100" w:afterAutospacing="1" w:line="560" w:lineRule="atLeast"/>
        <w:ind w:firstLine="640"/>
        <w:jc w:val="both"/>
      </w:pPr>
      <w:r>
        <w:rPr>
          <w:rFonts w:hint="eastAsia"/>
          <w:sz w:val="32"/>
          <w:szCs w:val="32"/>
        </w:rPr>
        <w:t>呼伦贝尔职业技术学院部门2022年度在决算中反映</w:t>
      </w:r>
      <w:r>
        <w:rPr>
          <w:rFonts w:hint="eastAsia" w:ascii="Times New Roman" w:hAnsi="Times New Roman" w:cs="Times New Roman"/>
          <w:sz w:val="32"/>
          <w:szCs w:val="32"/>
        </w:rPr>
        <w:t>11</w:t>
      </w:r>
      <w:r>
        <w:rPr>
          <w:rFonts w:hint="eastAsia"/>
          <w:sz w:val="32"/>
          <w:szCs w:val="32"/>
        </w:rPr>
        <w:t>个一般公共预算项目，以及</w:t>
      </w:r>
      <w:r>
        <w:rPr>
          <w:rFonts w:hint="eastAsia" w:ascii="Times New Roman" w:hAnsi="Times New Roman" w:cs="Times New Roman"/>
          <w:sz w:val="32"/>
          <w:szCs w:val="32"/>
        </w:rPr>
        <w:t>1</w:t>
      </w:r>
      <w:r>
        <w:rPr>
          <w:rFonts w:hint="eastAsia"/>
          <w:sz w:val="32"/>
          <w:szCs w:val="32"/>
        </w:rPr>
        <w:t>个政府性基金项目，共</w:t>
      </w:r>
      <w:r>
        <w:rPr>
          <w:rFonts w:hint="eastAsia" w:ascii="Times New Roman" w:hAnsi="Times New Roman" w:cs="Times New Roman"/>
          <w:sz w:val="32"/>
          <w:szCs w:val="32"/>
        </w:rPr>
        <w:t>12</w:t>
      </w:r>
      <w:r>
        <w:rPr>
          <w:rFonts w:hint="eastAsia"/>
          <w:sz w:val="32"/>
          <w:szCs w:val="32"/>
        </w:rPr>
        <w:t>个项目的绩效自评结果。</w:t>
      </w:r>
    </w:p>
    <w:p>
      <w:pPr>
        <w:jc w:val="both"/>
        <w:rPr>
          <w:sz w:val="32"/>
          <w:szCs w:val="32"/>
        </w:rPr>
      </w:pPr>
      <w:r>
        <w:rPr>
          <w:rFonts w:hint="eastAsia"/>
          <w:sz w:val="32"/>
          <w:szCs w:val="32"/>
        </w:rPr>
        <w:t xml:space="preserve">    </w:t>
      </w:r>
      <w:r>
        <w:rPr>
          <w:sz w:val="32"/>
          <w:szCs w:val="32"/>
        </w:rPr>
        <w:t xml:space="preserve">1. </w:t>
      </w:r>
      <w:r>
        <w:rPr>
          <w:rFonts w:hint="eastAsia"/>
          <w:sz w:val="32"/>
          <w:szCs w:val="32"/>
        </w:rPr>
        <w:t>中等职业学校学生资助资金（</w:t>
      </w:r>
      <w:r>
        <w:rPr>
          <w:sz w:val="32"/>
          <w:szCs w:val="32"/>
        </w:rPr>
        <w:t>2022年中央）</w:t>
      </w:r>
      <w:r>
        <w:rPr>
          <w:rFonts w:hint="eastAsia"/>
          <w:sz w:val="32"/>
          <w:szCs w:val="32"/>
        </w:rPr>
        <w:t>项目自评综述：根据年初设定的绩效目标，项目自评得分88.52分。全年预算数为310.70万元，执行数为155.84万元，完成预算的50.16%。项目绩效目标完成情况：发放中职学生助学金，保障了学院日常运转，教育教学工作有序开展。发现的主要问题及原因：在实际工作中可能会存在绩效指标体系不够完善，设定的某些绩效指标不完整、不细化、量化程度不够等实际问题，在自评时难以用完成值描述当前项目完成程度，部分项目的实际情况无法运用预算绩效管理的考核成果。下一步改进措施：绩效目标设置更加合理，指标设置更加明确，在工程项目实施过程中对项目预算资金进行准确测算。</w:t>
      </w:r>
    </w:p>
    <w:p>
      <w:pPr>
        <w:spacing w:before="100" w:beforeAutospacing="1" w:after="100" w:afterAutospacing="1" w:line="560" w:lineRule="atLeast"/>
        <w:ind w:firstLine="640"/>
        <w:jc w:val="both"/>
      </w:pPr>
      <w:r>
        <w:rPr>
          <w:rFonts w:ascii="Times New Roman" w:hAnsi="Times New Roman" w:cs="Times New Roman"/>
          <w:sz w:val="32"/>
          <w:szCs w:val="32"/>
        </w:rPr>
        <w:t>2.</w:t>
      </w:r>
      <w:r>
        <w:t xml:space="preserve"> </w:t>
      </w:r>
      <w:r>
        <w:rPr>
          <w:sz w:val="32"/>
          <w:szCs w:val="32"/>
        </w:rPr>
        <w:t>2022年中等职业学校资助补助经费（市本级配套）</w:t>
      </w:r>
      <w:r>
        <w:rPr>
          <w:rFonts w:hint="eastAsia"/>
          <w:sz w:val="32"/>
          <w:szCs w:val="32"/>
        </w:rPr>
        <w:t>项目自评综述：根据年初设定的绩效目标，项目自评得分94.84分。全年预算数为44.63万元，执行数为22.71万元，完成预算的50.89%。项目绩效目标完成情况：发放中职学生助学金，保障了学院日常运转，教育教学工作有序开展。发现的主要问题及原因：在实际工作中可能会存在绩效指标体系不够完善，设定的某些绩效指标不完整、不细化、量化程度不够等实际问题，在自评时难以用完成值描述当前项目完成程度，部分项目的实际情况无法运用预算绩效管理的考核成果。下一步改进措施：绩效目标设置更加合理，指标设置更加明确，在工程项目实施过程中对项目预算资金进行准确测算。</w:t>
      </w:r>
    </w:p>
    <w:p>
      <w:pPr>
        <w:spacing w:before="100" w:beforeAutospacing="1" w:after="100" w:afterAutospacing="1" w:line="560" w:lineRule="atLeast"/>
        <w:ind w:firstLine="640"/>
        <w:jc w:val="both"/>
        <w:rPr>
          <w:sz w:val="32"/>
          <w:szCs w:val="32"/>
        </w:rPr>
      </w:pPr>
      <w:r>
        <w:rPr>
          <w:rFonts w:hint="eastAsia" w:ascii="Times New Roman" w:hAnsi="Times New Roman" w:cs="Times New Roman"/>
          <w:sz w:val="32"/>
          <w:szCs w:val="32"/>
        </w:rPr>
        <w:t>3</w:t>
      </w:r>
      <w:r>
        <w:rPr>
          <w:rFonts w:ascii="Times New Roman" w:hAnsi="Times New Roman" w:cs="Times New Roman"/>
          <w:sz w:val="32"/>
          <w:szCs w:val="32"/>
        </w:rPr>
        <w:t>.</w:t>
      </w:r>
      <w:r>
        <w:t xml:space="preserve"> </w:t>
      </w:r>
      <w:r>
        <w:rPr>
          <w:sz w:val="32"/>
          <w:szCs w:val="32"/>
        </w:rPr>
        <w:t>2022年公共体育场馆向社会免费低收入开放补助资金1</w:t>
      </w:r>
      <w:r>
        <w:rPr>
          <w:rFonts w:hint="eastAsia"/>
          <w:sz w:val="32"/>
          <w:szCs w:val="32"/>
        </w:rPr>
        <w:t>项目自评综述：根据年初设定的绩效目标，项目自评得分100分。全年预算数为107.60万元，执行数为107.60万元，完成预算的100%。项目绩效目标完成情况：对体育馆进行日常维护，保障体育馆正常运行。发现的主要问题及原因：在实际工作中可能会存在绩效指标体系不够完善，设定的某些绩效指标不完整、不细化、量化程度不够等实际问题，在自评时难以用完成值描述当前项目完成程度，部分项目的实际情况无法运用预算绩效管理的考核成果。下一步改进措施：绩效目标设置更加合理，指标设置更加明确，在工程项目实施过程中对项目预算资金进行准确测算。</w:t>
      </w:r>
    </w:p>
    <w:p>
      <w:pPr>
        <w:spacing w:before="100" w:beforeAutospacing="1" w:after="100" w:afterAutospacing="1" w:line="560" w:lineRule="atLeast"/>
        <w:ind w:firstLine="640"/>
        <w:jc w:val="both"/>
        <w:rPr>
          <w:sz w:val="32"/>
          <w:szCs w:val="32"/>
        </w:rPr>
      </w:pPr>
      <w:r>
        <w:rPr>
          <w:rFonts w:hint="eastAsia" w:ascii="Times New Roman" w:hAnsi="Times New Roman" w:cs="Times New Roman"/>
          <w:sz w:val="32"/>
          <w:szCs w:val="32"/>
        </w:rPr>
        <w:t>4</w:t>
      </w:r>
      <w:r>
        <w:rPr>
          <w:rFonts w:ascii="Times New Roman" w:hAnsi="Times New Roman" w:cs="Times New Roman"/>
          <w:sz w:val="32"/>
          <w:szCs w:val="32"/>
        </w:rPr>
        <w:t>.</w:t>
      </w:r>
      <w:r>
        <w:t xml:space="preserve"> </w:t>
      </w:r>
      <w:r>
        <w:rPr>
          <w:sz w:val="32"/>
          <w:szCs w:val="32"/>
        </w:rPr>
        <w:t>2022年公共体育场馆向社会免费低收入开放补助资金</w:t>
      </w:r>
      <w:r>
        <w:rPr>
          <w:rFonts w:hint="eastAsia"/>
          <w:sz w:val="32"/>
          <w:szCs w:val="32"/>
        </w:rPr>
        <w:t>2项目自评综述：根据年初设定的绩效目标，项目自评得分95.34分。全年预算数为50.40万元，执行数为39.32万元，完成预算的78.02%。项目绩效目标完成情况：对体育馆进行日常维护，保障体育馆正常运行。发现的主要问题及原因：在实际工作中可能会存在绩效指标体系不够完善，设定的某些绩效指标不完整、不细化、量化程度不够等实际问题，在自评时难以用完成值描述当前项目完成程度，部分项目的实际情况无法运用预算绩效管理的考核成果。下一步改进措施：绩效目标设置更加合理，指标设置更加明确，在工程项目实施过程中对项目预算资金进行准确测算。</w:t>
      </w:r>
    </w:p>
    <w:p>
      <w:pPr>
        <w:spacing w:before="100" w:beforeAutospacing="1" w:after="100" w:afterAutospacing="1" w:line="560" w:lineRule="atLeast"/>
        <w:ind w:firstLine="640"/>
        <w:jc w:val="both"/>
      </w:pPr>
      <w:r>
        <w:rPr>
          <w:rFonts w:hint="eastAsia" w:ascii="Times New Roman" w:hAnsi="Times New Roman" w:cs="Times New Roman"/>
          <w:sz w:val="32"/>
          <w:szCs w:val="32"/>
        </w:rPr>
        <w:t>5</w:t>
      </w:r>
      <w:r>
        <w:rPr>
          <w:rFonts w:ascii="Times New Roman" w:hAnsi="Times New Roman" w:cs="Times New Roman"/>
          <w:sz w:val="32"/>
          <w:szCs w:val="32"/>
        </w:rPr>
        <w:t>.</w:t>
      </w:r>
      <w:r>
        <w:t xml:space="preserve"> </w:t>
      </w:r>
      <w:r>
        <w:rPr>
          <w:rFonts w:hint="eastAsia"/>
          <w:sz w:val="32"/>
          <w:szCs w:val="32"/>
        </w:rPr>
        <w:t>呼职院南区教学实训楼建设项目（内财建【</w:t>
      </w:r>
      <w:r>
        <w:rPr>
          <w:sz w:val="32"/>
          <w:szCs w:val="32"/>
        </w:rPr>
        <w:t>2022】394号）</w:t>
      </w:r>
      <w:r>
        <w:rPr>
          <w:rFonts w:hint="eastAsia"/>
          <w:sz w:val="32"/>
          <w:szCs w:val="32"/>
        </w:rPr>
        <w:t>项目自评综述：根据年初设定的绩效目标，项目自评得分100分。全年预算数为410.83万元，执行数为410.83万元，完成预算的100%。项目绩效目标完成情况：建设学院南区教学实训楼项目，保障项目工程顺利推进。发现的主要问题及原因：在实际工作中可能会存在绩效指标体系不够完善，设定的某些绩效指标不完整、不细化、量化程度不够等实际问题，在自评时难以用完成值描述当前项目完成程度，部分项目的实际情况无法运用预算绩效管理的考核成果。下一步改进措施：绩效目标设置更加合理，指标设置更加明确，在工程项目实施过程中对项目预算资金进行准确测算。</w:t>
      </w:r>
    </w:p>
    <w:tbl>
      <w:tblPr>
        <w:tblStyle w:val="7"/>
        <w:tblW w:w="8523" w:type="dxa"/>
        <w:jc w:val="center"/>
        <w:tblLayout w:type="fixed"/>
        <w:tblCellMar>
          <w:top w:w="0" w:type="dxa"/>
          <w:left w:w="0" w:type="dxa"/>
          <w:bottom w:w="0" w:type="dxa"/>
          <w:right w:w="0" w:type="dxa"/>
        </w:tblCellMar>
      </w:tblPr>
      <w:tblGrid>
        <w:gridCol w:w="847"/>
        <w:gridCol w:w="538"/>
        <w:gridCol w:w="360"/>
        <w:gridCol w:w="1122"/>
        <w:gridCol w:w="240"/>
        <w:gridCol w:w="745"/>
        <w:gridCol w:w="246"/>
        <w:gridCol w:w="936"/>
        <w:gridCol w:w="936"/>
        <w:gridCol w:w="249"/>
        <w:gridCol w:w="314"/>
        <w:gridCol w:w="368"/>
        <w:gridCol w:w="298"/>
        <w:gridCol w:w="689"/>
        <w:gridCol w:w="635"/>
      </w:tblGrid>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rPr>
                <w:rFonts w:ascii="方正小标宋简体" w:eastAsia="方正小标宋简体"/>
                <w:spacing w:val="20"/>
                <w:sz w:val="44"/>
                <w:szCs w:val="44"/>
              </w:rPr>
            </w:pPr>
          </w:p>
          <w:p>
            <w:pPr>
              <w:spacing w:before="100" w:beforeAutospacing="1" w:after="100" w:afterAutospacing="1"/>
              <w:jc w:val="center"/>
              <w:rPr>
                <w:rFonts w:ascii="方正小标宋简体" w:eastAsia="方正小标宋简体"/>
                <w:spacing w:val="20"/>
                <w:sz w:val="44"/>
                <w:szCs w:val="44"/>
              </w:rPr>
            </w:pPr>
          </w:p>
          <w:p>
            <w:pPr>
              <w:spacing w:before="100" w:beforeAutospacing="1" w:after="100" w:afterAutospacing="1"/>
              <w:jc w:val="center"/>
              <w:rPr>
                <w:rFonts w:ascii="方正小标宋简体" w:eastAsia="方正小标宋简体"/>
                <w:spacing w:val="20"/>
                <w:sz w:val="44"/>
                <w:szCs w:val="44"/>
              </w:rPr>
            </w:pPr>
          </w:p>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（2022年度）</w:t>
            </w:r>
          </w:p>
        </w:tc>
      </w:tr>
      <w:tr>
        <w:tblPrEx>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中等职业学校学生资助资金（</w:t>
            </w:r>
            <w:r>
              <w:rPr>
                <w:sz w:val="18"/>
                <w:szCs w:val="18"/>
              </w:rPr>
              <w:t>2022年中央）</w:t>
            </w:r>
          </w:p>
        </w:tc>
      </w:tr>
      <w:tr>
        <w:tblPrEx>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310.70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310.70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155.84</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50.16%</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5.02　</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310.70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310.70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155.84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维持学院日常教学工作，确保教学质量；资助</w:t>
            </w:r>
            <w:r>
              <w:rPr>
                <w:sz w:val="18"/>
                <w:szCs w:val="18"/>
              </w:rPr>
              <w:t>1290名家庭经济困难学生,满足家庭经济困难学生基本学习生活需要,，完成学业，顺利升学，就业；提升中职教育吸引力。</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发放中职学生助学金，保障了学院日常运转，教育教学工作有序开展。</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维护学院正常运行</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大于等于12个月</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24个月</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资助学生人数</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大于等于1290人</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1290人</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学院教学质量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大于等于12月</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24月</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家庭困难学生助学金补助完成率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补助资金按标准准确发放率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中央资金到位及时率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资助经费及时发放率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一档助学金每生每学年补助标准</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2000元/学年</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2000元/学年</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二档助学金每生每学年补助标准</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1500元/学年</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1500元/学年</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缓解学生家庭经济困难</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增加升学率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老师家长学生对学生资助补助政策的知晓度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4.5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对贫困学生成长的影响</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学生及家长满意度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88.52</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（2022年度）</w:t>
            </w:r>
          </w:p>
        </w:tc>
      </w:tr>
      <w:tr>
        <w:tblPrEx>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2022年中等职业学校资助补助经费（市本级配套</w:t>
            </w:r>
            <w:r>
              <w:rPr>
                <w:sz w:val="18"/>
                <w:szCs w:val="18"/>
              </w:rPr>
              <w:t>）</w:t>
            </w:r>
          </w:p>
        </w:tc>
      </w:tr>
      <w:tr>
        <w:tblPrEx>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44.63</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44.63</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22.71</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50.89%</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5.09　</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44.63</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44.63</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22.71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50.89%</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学院主要用于发放中职学生助学金，其他用于维持学院正常运转。</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发放中职学生助学金，保障了学院日常运转，教育教学工作有序开展。</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发放助学金学生人数</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1159人</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1159人</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资金划分类型</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2个</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2个</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学院日常教育教学运行质量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经费到位率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助学金发放及时率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4.75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资金支付完成时限</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小于等于2年</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2年</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助学金成本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22.63万元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22.63万元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免学费资金</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22万元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22万元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缓解学生家庭经济困难</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大于等于80%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保障困难学生学业完成率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保障学院正常运转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大于等于2年</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2年</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师生满意度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94.84</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rPr>
                <w:rFonts w:ascii="方正小标宋简体" w:eastAsia="方正小标宋简体"/>
                <w:spacing w:val="20"/>
                <w:sz w:val="44"/>
                <w:szCs w:val="44"/>
              </w:rPr>
            </w:pPr>
          </w:p>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（2022年度）</w:t>
            </w:r>
          </w:p>
        </w:tc>
      </w:tr>
      <w:tr>
        <w:tblPrEx>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sz w:val="18"/>
                <w:szCs w:val="18"/>
              </w:rPr>
              <w:t>2022年公共体育场馆向社会免费低收入开放补助资金1</w:t>
            </w:r>
          </w:p>
        </w:tc>
      </w:tr>
      <w:tr>
        <w:tblPrEx>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107.60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107.60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107.60</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　</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107.60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107.60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107.60</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保障体育馆正常运行，为师生及广大体育爱好者提供良好的锻炼环境。</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对体育馆进行日常维护，保障体育馆正常运行。</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体育场馆日常运行维护</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服务师生数量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体育场馆日常运行维护完成率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维护验收质量合格率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体育场馆日常维修维护及时率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服务时长</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大于等于1年</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1年</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体育场馆日常运行及维修维护成本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大于等于107.6万元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107.6万元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预算完成情况</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带动周边经济增长</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大于等于20%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提升社会公众身体素质</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大于等于80%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改善环境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大于等于80%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对社会公众提高身体素质影响</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社会公众满意度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rPr>
                <w:rFonts w:ascii="方正小标宋简体" w:eastAsia="方正小标宋简体"/>
                <w:spacing w:val="20"/>
                <w:sz w:val="44"/>
                <w:szCs w:val="44"/>
              </w:rPr>
            </w:pPr>
          </w:p>
          <w:p>
            <w:pPr>
              <w:spacing w:before="100" w:beforeAutospacing="1" w:after="100" w:afterAutospacing="1"/>
              <w:jc w:val="center"/>
              <w:rPr>
                <w:rFonts w:hint="eastAsia" w:ascii="方正小标宋简体" w:eastAsia="方正小标宋简体"/>
                <w:spacing w:val="20"/>
                <w:sz w:val="44"/>
                <w:szCs w:val="44"/>
              </w:rPr>
            </w:pPr>
          </w:p>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（2022年度）</w:t>
            </w:r>
          </w:p>
        </w:tc>
      </w:tr>
      <w:tr>
        <w:tblPrEx>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r>
              <w:rPr>
                <w:sz w:val="18"/>
                <w:szCs w:val="18"/>
              </w:rPr>
              <w:t>2022年公共体育场馆向社会免费低收入开放补助资金2</w:t>
            </w:r>
          </w:p>
        </w:tc>
      </w:tr>
      <w:tr>
        <w:tblPrEx>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50.40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50.40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39.32</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78.02%</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7.8　</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50.40</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50.40</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39.32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78.02%</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保障体育馆正常运行，为师生及广大体育爱好者提供良好的锻炼环境。</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对体育馆进行日常维护，保障体育馆正常运行。</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体育场馆日常运行维护</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服务师生数量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体育场馆日常运行维护完成率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服务时长</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大于等于12月</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12月</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体育场馆日常维修维护及时率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4.74</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项目资金下达及时率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体育场馆日常运行及维修维护成本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大于等于50.4万元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39.32万元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3.9</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预算完成情况</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78%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3.9</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带动周边经济增长</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大于等于20%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提升社会公众身体素质</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大于等于80%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改善环境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大于等于80%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对社会公众提高身体素质影响</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社会公众满意度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大于等于98%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95.34</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r>
      <w:tr>
        <w:tblPrEx>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r>
              <w:rPr>
                <w:rFonts w:hint="eastAsia"/>
              </w:rPr>
              <w:t> </w:t>
            </w:r>
          </w:p>
        </w:tc>
        <w:tc>
          <w:tcPr>
            <w:tcW w:w="936" w:type="dxa"/>
            <w:vAlign w:val="center"/>
          </w:tcPr>
          <w:p>
            <w:r>
              <w:rPr>
                <w:rFonts w:hint="eastAsia"/>
              </w:rPr>
              <w:t> </w:t>
            </w:r>
          </w:p>
        </w:tc>
        <w:tc>
          <w:tcPr>
            <w:tcW w:w="249" w:type="dxa"/>
            <w:vAlign w:val="center"/>
          </w:tcPr>
          <w:p>
            <w:r>
              <w:rPr>
                <w:rFonts w:hint="eastAsia"/>
              </w:rPr>
              <w:t> </w:t>
            </w:r>
          </w:p>
        </w:tc>
        <w:tc>
          <w:tcPr>
            <w:tcW w:w="314" w:type="dxa"/>
            <w:vAlign w:val="center"/>
          </w:tcPr>
          <w:p>
            <w:r>
              <w:rPr>
                <w:rFonts w:hint="eastAsia"/>
              </w:rPr>
              <w:t> </w:t>
            </w:r>
          </w:p>
        </w:tc>
        <w:tc>
          <w:tcPr>
            <w:tcW w:w="368" w:type="dxa"/>
            <w:vAlign w:val="center"/>
          </w:tcPr>
          <w:p>
            <w:r>
              <w:rPr>
                <w:rFonts w:hint="eastAsia"/>
              </w:rPr>
              <w:t> </w:t>
            </w:r>
          </w:p>
        </w:tc>
        <w:tc>
          <w:tcPr>
            <w:tcW w:w="298" w:type="dxa"/>
            <w:vAlign w:val="center"/>
          </w:tcPr>
          <w:p>
            <w:r>
              <w:rPr>
                <w:rFonts w:hint="eastAsia"/>
              </w:rPr>
              <w:t> </w:t>
            </w:r>
          </w:p>
        </w:tc>
        <w:tc>
          <w:tcPr>
            <w:tcW w:w="689" w:type="dxa"/>
            <w:vAlign w:val="center"/>
          </w:tcPr>
          <w:p>
            <w:r>
              <w:rPr>
                <w:rFonts w:hint="eastAsia"/>
              </w:rPr>
              <w:t> </w:t>
            </w:r>
          </w:p>
        </w:tc>
        <w:tc>
          <w:tcPr>
            <w:tcW w:w="635" w:type="dxa"/>
            <w:vAlign w:val="center"/>
          </w:tcPr>
          <w:p>
            <w:r>
              <w:rPr>
                <w:rFonts w:hint="eastAsia"/>
              </w:rPr>
              <w:t> </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小标宋简体" w:eastAsia="方正小标宋简体"/>
                <w:spacing w:val="20"/>
                <w:sz w:val="44"/>
                <w:szCs w:val="44"/>
              </w:rPr>
              <w:t>项目支出绩效自评表</w:t>
            </w:r>
          </w:p>
        </w:tc>
      </w:tr>
      <w:tr>
        <w:tblPrEx>
          <w:tblCellMar>
            <w:top w:w="0" w:type="dxa"/>
            <w:left w:w="0" w:type="dxa"/>
            <w:bottom w:w="0" w:type="dxa"/>
            <w:right w:w="0" w:type="dxa"/>
          </w:tblCellMar>
        </w:tblPrEx>
        <w:trPr>
          <w:jc w:val="center"/>
        </w:trPr>
        <w:tc>
          <w:tcPr>
            <w:tcW w:w="8523" w:type="dxa"/>
            <w:gridSpan w:val="15"/>
            <w:tcMar>
              <w:top w:w="0" w:type="dxa"/>
              <w:left w:w="108" w:type="dxa"/>
              <w:bottom w:w="0" w:type="dxa"/>
              <w:right w:w="108" w:type="dxa"/>
            </w:tcMar>
          </w:tcPr>
          <w:p>
            <w:pPr>
              <w:spacing w:before="100" w:beforeAutospacing="1" w:after="100" w:afterAutospacing="1"/>
              <w:jc w:val="center"/>
            </w:pPr>
            <w:r>
              <w:rPr>
                <w:rFonts w:hint="eastAsia" w:ascii="方正楷体简体" w:eastAsia="方正楷体简体"/>
                <w:sz w:val="32"/>
                <w:szCs w:val="32"/>
              </w:rPr>
              <w:t>（2022年度）</w:t>
            </w:r>
          </w:p>
        </w:tc>
      </w:tr>
      <w:tr>
        <w:tblPrEx>
          <w:tblCellMar>
            <w:top w:w="0" w:type="dxa"/>
            <w:left w:w="0" w:type="dxa"/>
            <w:bottom w:w="0" w:type="dxa"/>
            <w:right w:w="0" w:type="dxa"/>
          </w:tblCellMar>
        </w:tblPrEx>
        <w:trPr>
          <w:jc w:val="center"/>
        </w:trPr>
        <w:tc>
          <w:tcPr>
            <w:tcW w:w="13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ascii="方正楷体简体" w:eastAsia="方正楷体简体"/>
                <w:sz w:val="18"/>
                <w:szCs w:val="18"/>
              </w:rPr>
              <w:t>项目名称</w:t>
            </w:r>
          </w:p>
        </w:tc>
        <w:tc>
          <w:tcPr>
            <w:tcW w:w="7138" w:type="dxa"/>
            <w:gridSpan w:val="13"/>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呼职院南区教学实训楼建设项目（内财建【</w:t>
            </w:r>
            <w:r>
              <w:rPr>
                <w:sz w:val="18"/>
                <w:szCs w:val="18"/>
              </w:rPr>
              <w:t>2022】394号）</w:t>
            </w:r>
          </w:p>
        </w:tc>
      </w:tr>
      <w:tr>
        <w:tblPrEx>
          <w:tblCellMar>
            <w:top w:w="0" w:type="dxa"/>
            <w:left w:w="0" w:type="dxa"/>
            <w:bottom w:w="0" w:type="dxa"/>
            <w:right w:w="0" w:type="dxa"/>
          </w:tblCellMar>
        </w:tblPrEx>
        <w:trPr>
          <w:jc w:val="center"/>
        </w:trPr>
        <w:tc>
          <w:tcPr>
            <w:tcW w:w="13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主管部门及代码</w:t>
            </w:r>
          </w:p>
        </w:tc>
        <w:tc>
          <w:tcPr>
            <w:tcW w:w="3649" w:type="dxa"/>
            <w:gridSpan w:val="6"/>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呼伦贝尔职业技术学院（部门）242001</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实施单位</w:t>
            </w:r>
          </w:p>
        </w:tc>
        <w:tc>
          <w:tcPr>
            <w:tcW w:w="2304" w:type="dxa"/>
            <w:gridSpan w:val="5"/>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呼伦贝尔职业技术学院</w:t>
            </w:r>
          </w:p>
        </w:tc>
      </w:tr>
      <w:tr>
        <w:tblPrEx>
          <w:tblCellMar>
            <w:top w:w="0" w:type="dxa"/>
            <w:left w:w="0" w:type="dxa"/>
            <w:bottom w:w="0" w:type="dxa"/>
            <w:right w:w="0" w:type="dxa"/>
          </w:tblCellMar>
        </w:tblPrEx>
        <w:trPr>
          <w:jc w:val="center"/>
        </w:trPr>
        <w:tc>
          <w:tcPr>
            <w:tcW w:w="1385"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项目资金 （万元）</w:t>
            </w: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年初预算数</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全年预算数</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全年执行数</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执行率</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年度资金总额</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410.83</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410.83</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410.83</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　</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其中：财政拨款</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410.83</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410.83</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410.83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100%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1385" w:type="dxa"/>
            <w:gridSpan w:val="2"/>
            <w:vMerge w:val="continue"/>
            <w:tcBorders>
              <w:top w:val="nil"/>
              <w:left w:val="single" w:color="auto" w:sz="8" w:space="0"/>
              <w:bottom w:val="single" w:color="auto" w:sz="8" w:space="0"/>
              <w:right w:val="single" w:color="auto" w:sz="8" w:space="0"/>
            </w:tcBorders>
            <w:vAlign w:val="center"/>
          </w:tcPr>
          <w:p/>
        </w:tc>
        <w:tc>
          <w:tcPr>
            <w:tcW w:w="14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其他资金</w:t>
            </w:r>
          </w:p>
        </w:tc>
        <w:tc>
          <w:tcPr>
            <w:tcW w:w="9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1185"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c>
          <w:tcPr>
            <w:tcW w:w="987"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ascii="Courier New" w:hAnsi="Courier New" w:cs="Courier New"/>
                <w:sz w:val="18"/>
                <w:szCs w:val="18"/>
              </w:rPr>
              <w:t>-</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年度总体目标</w:t>
            </w: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预期目标</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实际完成情况</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4187"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满足呼伦贝尔市学生上学需求；满足呼伦贝尔市职业教育发展。</w:t>
            </w:r>
          </w:p>
        </w:tc>
        <w:tc>
          <w:tcPr>
            <w:tcW w:w="3489" w:type="dxa"/>
            <w:gridSpan w:val="7"/>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　建设南区教学实训楼</w:t>
            </w:r>
          </w:p>
        </w:tc>
      </w:tr>
      <w:tr>
        <w:tblPrEx>
          <w:tblCellMar>
            <w:top w:w="0" w:type="dxa"/>
            <w:left w:w="0" w:type="dxa"/>
            <w:bottom w:w="0" w:type="dxa"/>
            <w:right w:w="0" w:type="dxa"/>
          </w:tblCellMar>
        </w:tblPrEx>
        <w:trPr>
          <w:jc w:val="center"/>
        </w:trPr>
        <w:tc>
          <w:tcPr>
            <w:tcW w:w="84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绩  效 指  标（90）</w:t>
            </w: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一级指标</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二级指标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三级指标</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年度指标值</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实际完成值</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分值</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得分</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偏差原因分析及改进措施</w:t>
            </w: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产出指标（50）</w:t>
            </w: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数量指标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地上建筑面积</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40630.84平方米</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40630.84平方米</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服务师生数量</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大于等于50%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质量指标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项目建成合格率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项目验收合格率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时效指标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年度目标完成率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资金下达及时率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成本指标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项目运营总成本</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2898.82万元</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2898.82万元</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vMerge w:val="continue"/>
            <w:tcBorders>
              <w:top w:val="nil"/>
              <w:left w:val="nil"/>
              <w:bottom w:val="single" w:color="auto" w:sz="8" w:space="0"/>
              <w:right w:val="single" w:color="auto" w:sz="8" w:space="0"/>
            </w:tcBorders>
            <w:vAlign w:val="center"/>
          </w:tcP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项目预算完成率</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效益指标（30）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经济效益指标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带动项目周边经济增长</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大于等于5%</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5</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社会效益指标</w:t>
            </w:r>
          </w:p>
          <w:p>
            <w:pPr>
              <w:spacing w:before="100" w:beforeAutospacing="1" w:after="100" w:afterAutospacing="1"/>
              <w:jc w:val="center"/>
            </w:pPr>
            <w:r>
              <w:rPr>
                <w:rFonts w:hint="eastAsia"/>
                <w:sz w:val="18"/>
                <w:szCs w:val="18"/>
              </w:rPr>
              <w:t> </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改善城市功能，提高城市发展水平</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大于等于8%</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8%</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生态效益指标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无</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vMerge w:val="continue"/>
            <w:tcBorders>
              <w:top w:val="nil"/>
              <w:left w:val="nil"/>
              <w:bottom w:val="single" w:color="auto" w:sz="8" w:space="0"/>
              <w:right w:val="single" w:color="auto" w:sz="8" w:space="0"/>
            </w:tcBorders>
            <w:vAlign w:val="center"/>
          </w:tcP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可持续影响 指    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职业教育可持续发展</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大于等于10年</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10年</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Merge w:val="continue"/>
            <w:tcBorders>
              <w:top w:val="nil"/>
              <w:left w:val="single" w:color="auto" w:sz="8" w:space="0"/>
              <w:bottom w:val="single" w:color="auto" w:sz="8" w:space="0"/>
              <w:right w:val="single" w:color="auto" w:sz="8" w:space="0"/>
            </w:tcBorders>
            <w:vAlign w:val="center"/>
          </w:tcPr>
          <w:p/>
        </w:tc>
        <w:tc>
          <w:tcPr>
            <w:tcW w:w="89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满意度 指  标（10）</w:t>
            </w:r>
          </w:p>
        </w:tc>
        <w:tc>
          <w:tcPr>
            <w:tcW w:w="13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服务对象 满意度指标</w:t>
            </w:r>
          </w:p>
        </w:tc>
        <w:tc>
          <w:tcPr>
            <w:tcW w:w="991"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pPr>
            <w:r>
              <w:rPr>
                <w:rFonts w:hint="eastAsia"/>
                <w:sz w:val="18"/>
                <w:szCs w:val="18"/>
              </w:rPr>
              <w:t>师生满意度</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大于等于90%</w:t>
            </w:r>
          </w:p>
        </w:tc>
        <w:tc>
          <w:tcPr>
            <w:tcW w:w="936" w:type="dxa"/>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90%</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5970"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总    分</w:t>
            </w:r>
          </w:p>
        </w:tc>
        <w:tc>
          <w:tcPr>
            <w:tcW w:w="56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rFonts w:hint="eastAsia"/>
                <w:sz w:val="18"/>
                <w:szCs w:val="18"/>
              </w:rPr>
              <w:t>100</w:t>
            </w:r>
          </w:p>
        </w:tc>
        <w:tc>
          <w:tcPr>
            <w:tcW w:w="666"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r>
              <w:rPr>
                <w:rFonts w:hint="eastAsia"/>
                <w:sz w:val="18"/>
                <w:szCs w:val="18"/>
              </w:rPr>
              <w:t>100</w:t>
            </w:r>
          </w:p>
        </w:tc>
        <w:tc>
          <w:tcPr>
            <w:tcW w:w="1324"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before="100" w:beforeAutospacing="1" w:after="100" w:afterAutospacing="1"/>
              <w:jc w:val="center"/>
            </w:pPr>
          </w:p>
        </w:tc>
      </w:tr>
      <w:tr>
        <w:tblPrEx>
          <w:tblCellMar>
            <w:top w:w="0" w:type="dxa"/>
            <w:left w:w="0" w:type="dxa"/>
            <w:bottom w:w="0" w:type="dxa"/>
            <w:right w:w="0" w:type="dxa"/>
          </w:tblCellMar>
        </w:tblPrEx>
        <w:trPr>
          <w:jc w:val="center"/>
        </w:trPr>
        <w:tc>
          <w:tcPr>
            <w:tcW w:w="847" w:type="dxa"/>
            <w:vAlign w:val="center"/>
          </w:tcPr>
          <w:p>
            <w:r>
              <w:rPr>
                <w:rFonts w:hint="eastAsia"/>
              </w:rPr>
              <w:t> </w:t>
            </w:r>
          </w:p>
        </w:tc>
        <w:tc>
          <w:tcPr>
            <w:tcW w:w="538" w:type="dxa"/>
            <w:vAlign w:val="center"/>
          </w:tcPr>
          <w:p>
            <w:r>
              <w:rPr>
                <w:rFonts w:hint="eastAsia"/>
              </w:rPr>
              <w:t> </w:t>
            </w:r>
          </w:p>
        </w:tc>
        <w:tc>
          <w:tcPr>
            <w:tcW w:w="360" w:type="dxa"/>
            <w:vAlign w:val="center"/>
          </w:tcPr>
          <w:p>
            <w:r>
              <w:rPr>
                <w:rFonts w:hint="eastAsia"/>
              </w:rPr>
              <w:t> </w:t>
            </w:r>
          </w:p>
        </w:tc>
        <w:tc>
          <w:tcPr>
            <w:tcW w:w="1122" w:type="dxa"/>
            <w:vAlign w:val="center"/>
          </w:tcPr>
          <w:p>
            <w:r>
              <w:rPr>
                <w:rFonts w:hint="eastAsia"/>
              </w:rPr>
              <w:t> </w:t>
            </w:r>
          </w:p>
        </w:tc>
        <w:tc>
          <w:tcPr>
            <w:tcW w:w="240" w:type="dxa"/>
            <w:vAlign w:val="center"/>
          </w:tcPr>
          <w:p>
            <w:r>
              <w:rPr>
                <w:rFonts w:hint="eastAsia"/>
              </w:rPr>
              <w:t> </w:t>
            </w:r>
          </w:p>
        </w:tc>
        <w:tc>
          <w:tcPr>
            <w:tcW w:w="745" w:type="dxa"/>
            <w:vAlign w:val="center"/>
          </w:tcPr>
          <w:p>
            <w:r>
              <w:rPr>
                <w:rFonts w:hint="eastAsia"/>
              </w:rPr>
              <w:t> </w:t>
            </w:r>
          </w:p>
        </w:tc>
        <w:tc>
          <w:tcPr>
            <w:tcW w:w="246" w:type="dxa"/>
            <w:vAlign w:val="center"/>
          </w:tcPr>
          <w:p>
            <w:r>
              <w:rPr>
                <w:rFonts w:hint="eastAsia"/>
              </w:rPr>
              <w:t> </w:t>
            </w:r>
          </w:p>
        </w:tc>
        <w:tc>
          <w:tcPr>
            <w:tcW w:w="936" w:type="dxa"/>
            <w:vAlign w:val="center"/>
          </w:tcPr>
          <w:p>
            <w:pPr>
              <w:jc w:val="center"/>
            </w:pPr>
          </w:p>
        </w:tc>
        <w:tc>
          <w:tcPr>
            <w:tcW w:w="936" w:type="dxa"/>
            <w:vAlign w:val="center"/>
          </w:tcPr>
          <w:p>
            <w:pPr>
              <w:jc w:val="center"/>
            </w:pPr>
          </w:p>
        </w:tc>
        <w:tc>
          <w:tcPr>
            <w:tcW w:w="249" w:type="dxa"/>
            <w:vAlign w:val="center"/>
          </w:tcPr>
          <w:p>
            <w:pPr>
              <w:jc w:val="center"/>
            </w:pPr>
          </w:p>
        </w:tc>
        <w:tc>
          <w:tcPr>
            <w:tcW w:w="314" w:type="dxa"/>
            <w:vAlign w:val="center"/>
          </w:tcPr>
          <w:p>
            <w:pPr>
              <w:jc w:val="center"/>
            </w:pPr>
          </w:p>
        </w:tc>
        <w:tc>
          <w:tcPr>
            <w:tcW w:w="368" w:type="dxa"/>
            <w:vAlign w:val="center"/>
          </w:tcPr>
          <w:p>
            <w:pPr>
              <w:jc w:val="center"/>
            </w:pPr>
          </w:p>
        </w:tc>
        <w:tc>
          <w:tcPr>
            <w:tcW w:w="298" w:type="dxa"/>
            <w:vAlign w:val="center"/>
          </w:tcPr>
          <w:p>
            <w:pPr>
              <w:jc w:val="center"/>
            </w:pPr>
          </w:p>
        </w:tc>
        <w:tc>
          <w:tcPr>
            <w:tcW w:w="689" w:type="dxa"/>
            <w:vAlign w:val="center"/>
          </w:tcPr>
          <w:p>
            <w:pPr>
              <w:jc w:val="center"/>
            </w:pPr>
          </w:p>
        </w:tc>
        <w:tc>
          <w:tcPr>
            <w:tcW w:w="635" w:type="dxa"/>
            <w:vAlign w:val="center"/>
          </w:tcPr>
          <w:p>
            <w:pPr>
              <w:jc w:val="center"/>
            </w:pPr>
          </w:p>
        </w:tc>
      </w:tr>
    </w:tbl>
    <w:p>
      <w:pPr>
        <w:spacing w:before="100" w:beforeAutospacing="1" w:after="100" w:afterAutospacing="1"/>
        <w:ind w:firstLine="643"/>
        <w:jc w:val="both"/>
      </w:pPr>
      <w:r>
        <w:rPr>
          <w:rFonts w:hint="eastAsia" w:ascii="楷体" w:hAnsi="楷体" w:eastAsia="楷体"/>
          <w:b/>
          <w:bCs/>
          <w:sz w:val="32"/>
          <w:szCs w:val="32"/>
        </w:rPr>
        <w:t>（三）部门项目绩效评价结果。</w:t>
      </w:r>
    </w:p>
    <w:p>
      <w:pPr>
        <w:spacing w:before="100" w:beforeAutospacing="1" w:after="100" w:afterAutospacing="1"/>
        <w:ind w:firstLine="640"/>
        <w:jc w:val="both"/>
        <w:rPr>
          <w:rFonts w:ascii="Times New Roman" w:hAnsi="Times New Roman" w:cs="Times New Roman"/>
          <w:sz w:val="32"/>
          <w:szCs w:val="32"/>
        </w:rPr>
      </w:pPr>
      <w:r>
        <w:rPr>
          <w:rFonts w:hint="eastAsia"/>
          <w:sz w:val="32"/>
          <w:szCs w:val="32"/>
        </w:rPr>
        <w:t>以2022年普通高校学生资助补助经费项目为例，该项目绩效评价综合得分为</w:t>
      </w:r>
      <w:r>
        <w:rPr>
          <w:rFonts w:hint="eastAsia" w:ascii="Times New Roman" w:hAnsi="Times New Roman" w:cs="Times New Roman"/>
          <w:sz w:val="32"/>
          <w:szCs w:val="32"/>
          <w:u w:val="single"/>
        </w:rPr>
        <w:t>91</w:t>
      </w:r>
      <w:r>
        <w:rPr>
          <w:rFonts w:hint="eastAsia"/>
          <w:sz w:val="32"/>
          <w:szCs w:val="32"/>
        </w:rPr>
        <w:t>分，绩效评价结果为</w:t>
      </w:r>
      <w:r>
        <w:rPr>
          <w:rFonts w:ascii="Times New Roman" w:hAnsi="Times New Roman" w:cs="Times New Roman"/>
          <w:sz w:val="32"/>
          <w:szCs w:val="32"/>
        </w:rPr>
        <w:t>“</w:t>
      </w:r>
      <w:r>
        <w:rPr>
          <w:rFonts w:hint="eastAsia"/>
          <w:sz w:val="32"/>
          <w:szCs w:val="32"/>
        </w:rPr>
        <w:t>优</w:t>
      </w:r>
      <w:r>
        <w:rPr>
          <w:rFonts w:ascii="Times New Roman" w:hAnsi="Times New Roman" w:cs="Times New Roman"/>
          <w:sz w:val="32"/>
          <w:szCs w:val="32"/>
        </w:rPr>
        <w:t>”</w:t>
      </w:r>
      <w:r>
        <w:rPr>
          <w:rFonts w:hint="eastAsia"/>
          <w:sz w:val="32"/>
          <w:szCs w:val="32"/>
        </w:rPr>
        <w:t>。重点项目绩效评价得分情况详见部门具体绩效评价结果。</w:t>
      </w:r>
      <w:r>
        <w:rPr>
          <w:rFonts w:ascii="Times New Roman" w:hAnsi="Times New Roman" w:cs="Times New Roman"/>
          <w:sz w:val="32"/>
          <w:szCs w:val="32"/>
        </w:rPr>
        <w:t> </w:t>
      </w:r>
    </w:p>
    <w:p>
      <w:pPr>
        <w:jc w:val="center"/>
        <w:rPr>
          <w:sz w:val="36"/>
          <w:szCs w:val="36"/>
        </w:rPr>
      </w:pPr>
    </w:p>
    <w:p>
      <w:pPr>
        <w:jc w:val="center"/>
        <w:rPr>
          <w:sz w:val="36"/>
          <w:szCs w:val="36"/>
        </w:rPr>
      </w:pPr>
    </w:p>
    <w:p>
      <w:pPr>
        <w:jc w:val="center"/>
        <w:rPr>
          <w:sz w:val="36"/>
          <w:szCs w:val="36"/>
        </w:rPr>
      </w:pPr>
    </w:p>
    <w:p>
      <w:pPr>
        <w:jc w:val="center"/>
        <w:rPr>
          <w:sz w:val="32"/>
          <w:szCs w:val="32"/>
        </w:rPr>
      </w:pPr>
    </w:p>
    <w:p>
      <w:pPr>
        <w:jc w:val="center"/>
        <w:rPr>
          <w:sz w:val="32"/>
          <w:szCs w:val="32"/>
        </w:rPr>
      </w:pPr>
    </w:p>
    <w:p>
      <w:pPr>
        <w:jc w:val="center"/>
        <w:rPr>
          <w:sz w:val="32"/>
          <w:szCs w:val="32"/>
        </w:rPr>
      </w:pPr>
    </w:p>
    <w:p>
      <w:pPr>
        <w:jc w:val="center"/>
        <w:rPr>
          <w:sz w:val="36"/>
          <w:szCs w:val="36"/>
        </w:rPr>
      </w:pPr>
    </w:p>
    <w:p>
      <w:pPr>
        <w:jc w:val="center"/>
        <w:rPr>
          <w:sz w:val="36"/>
          <w:szCs w:val="36"/>
        </w:rPr>
      </w:pPr>
    </w:p>
    <w:p>
      <w:pPr>
        <w:jc w:val="center"/>
        <w:rPr>
          <w:b/>
          <w:bCs/>
          <w:sz w:val="44"/>
          <w:szCs w:val="44"/>
        </w:rPr>
      </w:pPr>
    </w:p>
    <w:p>
      <w:pPr>
        <w:jc w:val="center"/>
        <w:rPr>
          <w:b/>
          <w:bCs/>
          <w:sz w:val="44"/>
          <w:szCs w:val="44"/>
        </w:rPr>
      </w:pPr>
    </w:p>
    <w:p>
      <w:pPr>
        <w:jc w:val="center"/>
        <w:rPr>
          <w:b/>
          <w:bCs/>
          <w:sz w:val="44"/>
          <w:szCs w:val="44"/>
        </w:rPr>
      </w:pPr>
    </w:p>
    <w:p>
      <w:pPr>
        <w:jc w:val="center"/>
        <w:rPr>
          <w:rFonts w:hint="eastAsia"/>
          <w:b/>
          <w:bCs/>
          <w:sz w:val="44"/>
          <w:szCs w:val="44"/>
        </w:rPr>
      </w:pPr>
    </w:p>
    <w:p>
      <w:pPr>
        <w:spacing w:line="600" w:lineRule="auto"/>
        <w:jc w:val="center"/>
        <w:rPr>
          <w:b/>
          <w:bCs/>
          <w:sz w:val="44"/>
          <w:szCs w:val="44"/>
        </w:rPr>
      </w:pPr>
      <w:r>
        <w:rPr>
          <w:rFonts w:hint="eastAsia"/>
          <w:b/>
          <w:bCs/>
          <w:sz w:val="44"/>
          <w:szCs w:val="44"/>
        </w:rPr>
        <w:t>呼伦贝尔职业技术学院</w:t>
      </w:r>
    </w:p>
    <w:p>
      <w:pPr>
        <w:spacing w:line="600" w:lineRule="auto"/>
        <w:jc w:val="center"/>
        <w:rPr>
          <w:b/>
          <w:bCs/>
          <w:sz w:val="44"/>
          <w:szCs w:val="44"/>
        </w:rPr>
      </w:pPr>
      <w:r>
        <w:rPr>
          <w:rFonts w:hint="eastAsia"/>
          <w:b/>
          <w:bCs/>
          <w:sz w:val="44"/>
          <w:szCs w:val="44"/>
        </w:rPr>
        <w:t>关于2022年普通高校学生资助补助经费专项</w:t>
      </w:r>
    </w:p>
    <w:p>
      <w:pPr>
        <w:spacing w:line="600" w:lineRule="auto"/>
        <w:jc w:val="center"/>
        <w:rPr>
          <w:b/>
          <w:bCs/>
          <w:sz w:val="44"/>
          <w:szCs w:val="44"/>
        </w:rPr>
      </w:pPr>
      <w:r>
        <w:rPr>
          <w:rFonts w:hint="eastAsia"/>
          <w:b/>
          <w:bCs/>
          <w:sz w:val="44"/>
          <w:szCs w:val="44"/>
        </w:rPr>
        <w:t>部门评价报告</w:t>
      </w:r>
    </w:p>
    <w:p>
      <w:pPr>
        <w:spacing w:line="360" w:lineRule="auto"/>
        <w:jc w:val="center"/>
        <w:rPr>
          <w:b/>
          <w:bCs/>
          <w:sz w:val="44"/>
          <w:szCs w:val="44"/>
        </w:rPr>
      </w:pPr>
    </w:p>
    <w:p>
      <w:pPr>
        <w:spacing w:line="360" w:lineRule="auto"/>
        <w:jc w:val="center"/>
        <w:rPr>
          <w:b/>
          <w:bCs/>
          <w:sz w:val="44"/>
          <w:szCs w:val="44"/>
        </w:rPr>
      </w:pPr>
    </w:p>
    <w:p>
      <w:pPr>
        <w:spacing w:line="360" w:lineRule="auto"/>
        <w:jc w:val="center"/>
        <w:rPr>
          <w:b/>
          <w:bCs/>
          <w:sz w:val="44"/>
          <w:szCs w:val="44"/>
        </w:rPr>
      </w:pPr>
    </w:p>
    <w:p>
      <w:pPr>
        <w:spacing w:line="360" w:lineRule="auto"/>
        <w:jc w:val="center"/>
        <w:rPr>
          <w:b/>
          <w:bCs/>
          <w:sz w:val="44"/>
          <w:szCs w:val="44"/>
        </w:rPr>
      </w:pPr>
    </w:p>
    <w:p>
      <w:pPr>
        <w:spacing w:line="360" w:lineRule="auto"/>
        <w:jc w:val="center"/>
        <w:rPr>
          <w:b/>
          <w:bCs/>
          <w:sz w:val="44"/>
          <w:szCs w:val="44"/>
        </w:rPr>
      </w:pPr>
    </w:p>
    <w:p>
      <w:pPr>
        <w:spacing w:line="360" w:lineRule="auto"/>
        <w:jc w:val="center"/>
        <w:rPr>
          <w:b/>
          <w:bCs/>
          <w:sz w:val="44"/>
          <w:szCs w:val="44"/>
        </w:rPr>
      </w:pPr>
    </w:p>
    <w:p>
      <w:pPr>
        <w:spacing w:line="360" w:lineRule="auto"/>
        <w:jc w:val="center"/>
        <w:rPr>
          <w:rFonts w:ascii="方正小标宋简体" w:hAnsi="华文中宋" w:eastAsia="方正小标宋简体"/>
          <w:bCs/>
          <w:spacing w:val="40"/>
          <w:szCs w:val="30"/>
        </w:rPr>
      </w:pPr>
      <w:r>
        <w:rPr>
          <w:rFonts w:hint="eastAsia"/>
          <w:sz w:val="32"/>
          <w:szCs w:val="32"/>
        </w:rPr>
        <w:t>2022年8月30日</w:t>
      </w:r>
      <w:r>
        <w:rPr>
          <w:rFonts w:hint="eastAsia" w:ascii="方正小标宋简体" w:hAnsi="华文中宋" w:eastAsia="方正小标宋简体"/>
          <w:bCs/>
          <w:spacing w:val="40"/>
          <w:kern w:val="2"/>
          <w:szCs w:val="44"/>
        </w:rPr>
        <w:br w:type="page"/>
      </w:r>
    </w:p>
    <w:p>
      <w:pPr>
        <w:spacing w:line="500" w:lineRule="exact"/>
        <w:jc w:val="center"/>
        <w:rPr>
          <w:rFonts w:ascii="方正小标宋简体" w:hAnsi="华文中宋" w:eastAsia="方正小标宋简体"/>
          <w:bCs/>
          <w:spacing w:val="40"/>
          <w:sz w:val="44"/>
          <w:szCs w:val="44"/>
        </w:rPr>
      </w:pPr>
      <w:r>
        <w:rPr>
          <w:rFonts w:hint="eastAsia" w:ascii="方正小标宋简体" w:hAnsi="华文中宋" w:eastAsia="方正小标宋简体"/>
          <w:bCs/>
          <w:spacing w:val="40"/>
          <w:kern w:val="2"/>
          <w:sz w:val="44"/>
          <w:szCs w:val="44"/>
        </w:rPr>
        <w:t>部门评价报告</w:t>
      </w:r>
    </w:p>
    <w:p>
      <w:pPr>
        <w:topLinePunct/>
        <w:spacing w:line="500" w:lineRule="exact"/>
        <w:rPr>
          <w:rFonts w:ascii="方正黑体_GBK" w:hAnsi="方正黑体_GBK" w:eastAsia="方正黑体_GBK" w:cs="方正黑体_GBK"/>
          <w:sz w:val="32"/>
          <w:szCs w:val="32"/>
        </w:rPr>
      </w:pPr>
    </w:p>
    <w:p>
      <w:pPr>
        <w:topLinePunct/>
        <w:spacing w:line="520" w:lineRule="exact"/>
        <w:rPr>
          <w:rFonts w:ascii="黑体" w:hAnsi="黑体" w:eastAsia="黑体" w:cs="黑体"/>
          <w:sz w:val="32"/>
          <w:szCs w:val="32"/>
        </w:rPr>
      </w:pPr>
      <w:r>
        <w:rPr>
          <w:rFonts w:hint="eastAsia" w:ascii="黑体" w:hAnsi="黑体" w:eastAsia="黑体" w:cs="黑体"/>
          <w:kern w:val="2"/>
          <w:sz w:val="32"/>
          <w:szCs w:val="32"/>
        </w:rPr>
        <w:t>一、基本情况</w:t>
      </w:r>
    </w:p>
    <w:p>
      <w:pPr>
        <w:topLinePunct/>
        <w:spacing w:line="360" w:lineRule="auto"/>
        <w:ind w:firstLine="640" w:firstLineChars="200"/>
        <w:rPr>
          <w:sz w:val="32"/>
          <w:szCs w:val="32"/>
        </w:rPr>
      </w:pPr>
      <w:r>
        <w:rPr>
          <w:rFonts w:hint="eastAsia"/>
          <w:sz w:val="32"/>
          <w:szCs w:val="32"/>
        </w:rPr>
        <w:t>（一）项目概况。</w:t>
      </w:r>
    </w:p>
    <w:p>
      <w:pPr>
        <w:tabs>
          <w:tab w:val="left" w:pos="420"/>
        </w:tabs>
        <w:topLinePunct/>
        <w:spacing w:line="360" w:lineRule="auto"/>
        <w:ind w:firstLine="640" w:firstLineChars="200"/>
        <w:outlineLvl w:val="0"/>
        <w:rPr>
          <w:sz w:val="32"/>
          <w:szCs w:val="32"/>
        </w:rPr>
      </w:pPr>
      <w:r>
        <w:rPr>
          <w:rFonts w:hint="eastAsia"/>
          <w:sz w:val="32"/>
          <w:szCs w:val="32"/>
        </w:rPr>
        <w:t>立项依据：呼财预年初预算〔2022〕1号——提前下达2022年普通高校学生资助补助经费。根据《学生资助资金管理办法》（财科教〔2019〕19号）要确保资金及时、足额到位，并按多退少补的原则据实调整。同时按照《教育部等六部门关于做好家庭经济困难学生认定工作的指导意见》（教财〔2018〕16号）要求，做好家庭经济困难学生认定工作，进一步提高资助精准度，做到应助尽助。</w:t>
      </w:r>
    </w:p>
    <w:p>
      <w:pPr>
        <w:tabs>
          <w:tab w:val="left" w:pos="420"/>
        </w:tabs>
        <w:topLinePunct/>
        <w:spacing w:line="360" w:lineRule="auto"/>
        <w:ind w:firstLine="640" w:firstLineChars="200"/>
        <w:outlineLvl w:val="0"/>
        <w:rPr>
          <w:sz w:val="32"/>
          <w:szCs w:val="32"/>
        </w:rPr>
      </w:pPr>
      <w:r>
        <w:rPr>
          <w:rFonts w:hint="eastAsia"/>
          <w:sz w:val="32"/>
          <w:szCs w:val="32"/>
        </w:rPr>
        <w:t>截止到2022年7月31日，当年资金安排588万，实际安排资金588万，均为一般公共预算拨款，其中由中央拨款实际到位资金511万，到位率100%；由自治区拨款实际到位资金77万，到位率100%。</w:t>
      </w:r>
    </w:p>
    <w:p>
      <w:pPr>
        <w:tabs>
          <w:tab w:val="left" w:pos="420"/>
        </w:tabs>
        <w:topLinePunct/>
        <w:spacing w:line="360" w:lineRule="auto"/>
        <w:ind w:firstLine="640" w:firstLineChars="200"/>
        <w:outlineLvl w:val="0"/>
        <w:rPr>
          <w:sz w:val="32"/>
          <w:szCs w:val="32"/>
        </w:rPr>
      </w:pPr>
      <w:r>
        <w:rPr>
          <w:sz w:val="32"/>
          <w:szCs w:val="32"/>
        </w:rPr>
        <w:t>该项目资金主要用于</w:t>
      </w:r>
      <w:r>
        <w:rPr>
          <w:rFonts w:hint="eastAsia"/>
          <w:sz w:val="32"/>
          <w:szCs w:val="32"/>
        </w:rPr>
        <w:t>发放国家助学金、退役士兵国家助学金、高校学生应征入伍义务兵学费补偿，截至2022年7月共计311.27万元。</w:t>
      </w:r>
    </w:p>
    <w:p>
      <w:pPr>
        <w:topLinePunct/>
        <w:spacing w:line="360" w:lineRule="auto"/>
        <w:ind w:firstLine="640" w:firstLineChars="200"/>
        <w:rPr>
          <w:sz w:val="32"/>
          <w:szCs w:val="32"/>
        </w:rPr>
      </w:pPr>
      <w:r>
        <w:rPr>
          <w:rFonts w:hint="eastAsia"/>
          <w:sz w:val="32"/>
          <w:szCs w:val="32"/>
        </w:rPr>
        <w:t>（二）项目绩效目标。</w:t>
      </w:r>
    </w:p>
    <w:p>
      <w:pPr>
        <w:tabs>
          <w:tab w:val="left" w:pos="420"/>
        </w:tabs>
        <w:topLinePunct/>
        <w:spacing w:line="360" w:lineRule="auto"/>
        <w:ind w:firstLine="640" w:firstLineChars="200"/>
        <w:outlineLvl w:val="0"/>
        <w:rPr>
          <w:sz w:val="32"/>
          <w:szCs w:val="32"/>
        </w:rPr>
      </w:pPr>
      <w:r>
        <w:rPr>
          <w:rFonts w:hint="eastAsia"/>
          <w:sz w:val="32"/>
          <w:szCs w:val="32"/>
        </w:rPr>
        <w:t>预算总目标：资金按预算计划落实，进行科学化精细化资金管理，做好学生认定工作，进一步提高资助精准度，做到应助尽助。</w:t>
      </w:r>
    </w:p>
    <w:p>
      <w:pPr>
        <w:tabs>
          <w:tab w:val="left" w:pos="420"/>
        </w:tabs>
        <w:topLinePunct/>
        <w:spacing w:line="360" w:lineRule="auto"/>
        <w:ind w:firstLine="640" w:firstLineChars="200"/>
        <w:outlineLvl w:val="0"/>
        <w:rPr>
          <w:sz w:val="32"/>
          <w:szCs w:val="32"/>
        </w:rPr>
      </w:pPr>
      <w:r>
        <w:rPr>
          <w:rFonts w:hint="eastAsia"/>
          <w:sz w:val="32"/>
          <w:szCs w:val="32"/>
        </w:rPr>
        <w:t>阶段性目标：确保资金及时到位，使资金按预算计划落实，帮助学生顺利完成学业。</w:t>
      </w:r>
    </w:p>
    <w:p>
      <w:pPr>
        <w:topLinePunct/>
        <w:spacing w:line="520" w:lineRule="exact"/>
        <w:rPr>
          <w:rFonts w:ascii="黑体" w:hAnsi="黑体" w:eastAsia="黑体" w:cs="黑体"/>
          <w:sz w:val="32"/>
          <w:szCs w:val="32"/>
        </w:rPr>
      </w:pPr>
      <w:r>
        <w:rPr>
          <w:rFonts w:hint="eastAsia" w:ascii="黑体" w:hAnsi="黑体" w:eastAsia="黑体" w:cs="黑体"/>
          <w:kern w:val="2"/>
          <w:sz w:val="32"/>
          <w:szCs w:val="32"/>
        </w:rPr>
        <w:t>二、绩效评价工作开展情况</w:t>
      </w:r>
    </w:p>
    <w:p>
      <w:pPr>
        <w:tabs>
          <w:tab w:val="left" w:pos="420"/>
        </w:tabs>
        <w:topLinePunct/>
        <w:spacing w:line="360" w:lineRule="auto"/>
        <w:ind w:firstLine="640" w:firstLineChars="200"/>
        <w:outlineLvl w:val="0"/>
        <w:rPr>
          <w:sz w:val="32"/>
          <w:szCs w:val="32"/>
        </w:rPr>
      </w:pPr>
      <w:r>
        <w:rPr>
          <w:rFonts w:hint="eastAsia"/>
          <w:sz w:val="32"/>
          <w:szCs w:val="32"/>
        </w:rPr>
        <w:t>（一）绩效评价目的</w:t>
      </w:r>
    </w:p>
    <w:p>
      <w:pPr>
        <w:tabs>
          <w:tab w:val="left" w:pos="420"/>
        </w:tabs>
        <w:topLinePunct/>
        <w:spacing w:line="360" w:lineRule="auto"/>
        <w:ind w:firstLine="640" w:firstLineChars="200"/>
        <w:outlineLvl w:val="0"/>
        <w:rPr>
          <w:sz w:val="32"/>
          <w:szCs w:val="32"/>
        </w:rPr>
      </w:pPr>
      <w:r>
        <w:rPr>
          <w:rFonts w:hint="eastAsia"/>
          <w:sz w:val="32"/>
          <w:szCs w:val="32"/>
        </w:rPr>
        <w:t>通过绩效评价，客观地评判项目的管理绩效，同时将绩效评价结果与项目预算挂钩,为下半年项目资金的使用提供决策参考，进一步提高专项资金的使用效益及配置效率,实现财政资源配置效益与效率最大化。</w:t>
      </w:r>
    </w:p>
    <w:p>
      <w:pPr>
        <w:tabs>
          <w:tab w:val="left" w:pos="420"/>
        </w:tabs>
        <w:topLinePunct/>
        <w:spacing w:line="360" w:lineRule="auto"/>
        <w:ind w:firstLine="640" w:firstLineChars="200"/>
        <w:outlineLvl w:val="0"/>
        <w:rPr>
          <w:sz w:val="32"/>
          <w:szCs w:val="32"/>
        </w:rPr>
      </w:pPr>
      <w:r>
        <w:rPr>
          <w:rFonts w:hint="eastAsia"/>
          <w:sz w:val="32"/>
          <w:szCs w:val="32"/>
        </w:rPr>
        <w:t>（二）绩效评价对象</w:t>
      </w:r>
    </w:p>
    <w:p>
      <w:pPr>
        <w:tabs>
          <w:tab w:val="left" w:pos="420"/>
        </w:tabs>
        <w:topLinePunct/>
        <w:spacing w:line="360" w:lineRule="auto"/>
        <w:ind w:firstLine="640" w:firstLineChars="200"/>
        <w:outlineLvl w:val="0"/>
        <w:rPr>
          <w:sz w:val="32"/>
          <w:szCs w:val="32"/>
        </w:rPr>
      </w:pPr>
      <w:r>
        <w:rPr>
          <w:rFonts w:hint="eastAsia"/>
          <w:sz w:val="32"/>
          <w:szCs w:val="32"/>
        </w:rPr>
        <w:t>根据《学生资助资金管理办法》（财科教〔2019〕19号），结合本学院学生实际情况，学院认真做好资金使用，接受同级财政、教育局、审计和项目所涉及主管部门的指导和监督，对于经办人、初审人员以及复审人员等相关人员的签字进行反复确认，明确责任到人，确保资金使用保质保量。在2022年项目绩效目标申报情况的基础上，对其预算执行情况、项目进展情况以及项目实施效果等进行综合评价。</w:t>
      </w:r>
    </w:p>
    <w:p>
      <w:pPr>
        <w:tabs>
          <w:tab w:val="left" w:pos="420"/>
        </w:tabs>
        <w:topLinePunct/>
        <w:spacing w:line="360" w:lineRule="auto"/>
        <w:ind w:firstLine="640" w:firstLineChars="200"/>
        <w:outlineLvl w:val="0"/>
        <w:rPr>
          <w:sz w:val="32"/>
          <w:szCs w:val="32"/>
        </w:rPr>
      </w:pPr>
      <w:r>
        <w:rPr>
          <w:rFonts w:hint="eastAsia"/>
          <w:sz w:val="32"/>
          <w:szCs w:val="32"/>
        </w:rPr>
        <w:t>（三）绩效评价原则、评价方式以及评价标准</w:t>
      </w:r>
    </w:p>
    <w:p>
      <w:pPr>
        <w:tabs>
          <w:tab w:val="left" w:pos="420"/>
        </w:tabs>
        <w:topLinePunct/>
        <w:spacing w:line="360" w:lineRule="auto"/>
        <w:ind w:firstLine="640" w:firstLineChars="200"/>
        <w:outlineLvl w:val="0"/>
        <w:rPr>
          <w:sz w:val="32"/>
          <w:szCs w:val="32"/>
        </w:rPr>
      </w:pPr>
      <w:r>
        <w:rPr>
          <w:rFonts w:hint="eastAsia"/>
          <w:sz w:val="32"/>
          <w:szCs w:val="32"/>
        </w:rPr>
        <w:t xml:space="preserve">绩效评价应当遵循以下基本原则：  </w:t>
      </w:r>
    </w:p>
    <w:p>
      <w:pPr>
        <w:tabs>
          <w:tab w:val="left" w:pos="420"/>
        </w:tabs>
        <w:topLinePunct/>
        <w:spacing w:line="360" w:lineRule="auto"/>
        <w:ind w:firstLine="640" w:firstLineChars="200"/>
        <w:outlineLvl w:val="0"/>
        <w:rPr>
          <w:sz w:val="32"/>
          <w:szCs w:val="32"/>
        </w:rPr>
      </w:pPr>
      <w:r>
        <w:rPr>
          <w:rFonts w:hint="eastAsia"/>
          <w:sz w:val="32"/>
          <w:szCs w:val="32"/>
        </w:rPr>
        <w:t xml:space="preserve">1.科学公正。绩效评价应当运用科学合理的方法，按照规范的程序，对项目绩效进行客观、公正的反映。 </w:t>
      </w:r>
    </w:p>
    <w:p>
      <w:pPr>
        <w:tabs>
          <w:tab w:val="left" w:pos="420"/>
        </w:tabs>
        <w:topLinePunct/>
        <w:spacing w:line="360" w:lineRule="auto"/>
        <w:ind w:firstLine="640" w:firstLineChars="200"/>
        <w:outlineLvl w:val="0"/>
        <w:rPr>
          <w:sz w:val="32"/>
          <w:szCs w:val="32"/>
        </w:rPr>
      </w:pPr>
      <w:r>
        <w:rPr>
          <w:rFonts w:hint="eastAsia"/>
          <w:sz w:val="32"/>
          <w:szCs w:val="32"/>
        </w:rPr>
        <w:t>2.统筹兼顾。单位自评、部门评价和财政评价应职责明确，各有侧重，相互衔接。单位自评应由项目单位自主实施，即“谁支出、谁自评”。</w:t>
      </w:r>
    </w:p>
    <w:p>
      <w:pPr>
        <w:tabs>
          <w:tab w:val="left" w:pos="420"/>
        </w:tabs>
        <w:topLinePunct/>
        <w:spacing w:line="360" w:lineRule="auto"/>
        <w:ind w:firstLine="640" w:firstLineChars="200"/>
        <w:outlineLvl w:val="0"/>
        <w:rPr>
          <w:sz w:val="32"/>
          <w:szCs w:val="32"/>
        </w:rPr>
      </w:pPr>
      <w:r>
        <w:rPr>
          <w:rFonts w:hint="eastAsia"/>
          <w:sz w:val="32"/>
          <w:szCs w:val="32"/>
        </w:rPr>
        <w:t xml:space="preserve">3.激励约束。绩效评价结果应与预算安排、政策调整、改进管理实质性挂钩，体现奖优罚劣和激励相容导向，有效要安排、低效要压减、无效要问责。  </w:t>
      </w:r>
    </w:p>
    <w:p>
      <w:pPr>
        <w:tabs>
          <w:tab w:val="left" w:pos="420"/>
        </w:tabs>
        <w:topLinePunct/>
        <w:spacing w:line="360" w:lineRule="auto"/>
        <w:ind w:firstLine="640" w:firstLineChars="200"/>
        <w:outlineLvl w:val="0"/>
        <w:rPr>
          <w:sz w:val="32"/>
          <w:szCs w:val="32"/>
        </w:rPr>
      </w:pPr>
      <w:r>
        <w:rPr>
          <w:rFonts w:hint="eastAsia"/>
          <w:sz w:val="32"/>
          <w:szCs w:val="32"/>
        </w:rPr>
        <w:t>绩效评价方法</w:t>
      </w:r>
    </w:p>
    <w:p>
      <w:pPr>
        <w:tabs>
          <w:tab w:val="left" w:pos="420"/>
        </w:tabs>
        <w:topLinePunct/>
        <w:spacing w:line="360" w:lineRule="auto"/>
        <w:ind w:firstLine="640" w:firstLineChars="200"/>
        <w:outlineLvl w:val="0"/>
        <w:rPr>
          <w:sz w:val="32"/>
          <w:szCs w:val="32"/>
        </w:rPr>
      </w:pPr>
      <w:r>
        <w:rPr>
          <w:rFonts w:hint="eastAsia"/>
          <w:sz w:val="32"/>
          <w:szCs w:val="32"/>
        </w:rPr>
        <w:t>1.比较法:通过对绩效目标与实施效果比较，指标制定上定量与定性相结合，优先定量，综合分析绩效目标实现程度。</w:t>
      </w:r>
    </w:p>
    <w:p>
      <w:pPr>
        <w:tabs>
          <w:tab w:val="left" w:pos="420"/>
        </w:tabs>
        <w:topLinePunct/>
        <w:spacing w:line="360" w:lineRule="auto"/>
        <w:ind w:firstLine="640" w:firstLineChars="200"/>
        <w:outlineLvl w:val="0"/>
        <w:rPr>
          <w:sz w:val="32"/>
          <w:szCs w:val="32"/>
        </w:rPr>
      </w:pPr>
      <w:r>
        <w:rPr>
          <w:rFonts w:hint="eastAsia"/>
          <w:sz w:val="32"/>
          <w:szCs w:val="32"/>
        </w:rPr>
        <w:t>2.因素分析法:通过综合分析影响绩效目标实现、实施效果的内外因素，评价绩效目标实现程度。</w:t>
      </w:r>
    </w:p>
    <w:p>
      <w:pPr>
        <w:tabs>
          <w:tab w:val="left" w:pos="420"/>
        </w:tabs>
        <w:topLinePunct/>
        <w:spacing w:line="360" w:lineRule="auto"/>
        <w:ind w:firstLine="640" w:firstLineChars="200"/>
        <w:outlineLvl w:val="0"/>
        <w:rPr>
          <w:sz w:val="32"/>
          <w:szCs w:val="32"/>
        </w:rPr>
      </w:pPr>
      <w:r>
        <w:rPr>
          <w:rFonts w:hint="eastAsia"/>
          <w:sz w:val="32"/>
          <w:szCs w:val="32"/>
        </w:rPr>
        <w:t>3.综合评判法:综合上述评价情况并开展综合分析，形成最终自评结论，完成绩效自评报告。</w:t>
      </w:r>
    </w:p>
    <w:p>
      <w:pPr>
        <w:tabs>
          <w:tab w:val="left" w:pos="420"/>
        </w:tabs>
        <w:topLinePunct/>
        <w:spacing w:line="360" w:lineRule="auto"/>
        <w:ind w:firstLine="640" w:firstLineChars="200"/>
        <w:outlineLvl w:val="0"/>
        <w:rPr>
          <w:sz w:val="32"/>
          <w:szCs w:val="32"/>
        </w:rPr>
      </w:pPr>
      <w:r>
        <w:rPr>
          <w:rFonts w:hint="eastAsia"/>
          <w:sz w:val="32"/>
          <w:szCs w:val="32"/>
        </w:rPr>
        <w:t>绩效评价标准</w:t>
      </w:r>
    </w:p>
    <w:p>
      <w:pPr>
        <w:tabs>
          <w:tab w:val="left" w:pos="420"/>
        </w:tabs>
        <w:topLinePunct/>
        <w:spacing w:line="360" w:lineRule="auto"/>
        <w:ind w:firstLine="640" w:firstLineChars="200"/>
        <w:outlineLvl w:val="0"/>
        <w:rPr>
          <w:sz w:val="32"/>
          <w:szCs w:val="32"/>
        </w:rPr>
      </w:pPr>
      <w:r>
        <w:rPr>
          <w:rFonts w:hint="eastAsia"/>
          <w:sz w:val="32"/>
          <w:szCs w:val="32"/>
        </w:rPr>
        <w:t>本次绩效评价采用计划标准。</w:t>
      </w:r>
    </w:p>
    <w:p>
      <w:pPr>
        <w:topLinePunct/>
        <w:spacing w:line="520" w:lineRule="exact"/>
        <w:rPr>
          <w:rFonts w:ascii="黑体" w:hAnsi="黑体" w:eastAsia="黑体" w:cs="黑体"/>
          <w:sz w:val="32"/>
          <w:szCs w:val="32"/>
        </w:rPr>
      </w:pPr>
      <w:r>
        <w:rPr>
          <w:rFonts w:hint="eastAsia" w:ascii="黑体" w:hAnsi="黑体" w:eastAsia="黑体" w:cs="黑体"/>
          <w:kern w:val="2"/>
          <w:sz w:val="32"/>
          <w:szCs w:val="32"/>
        </w:rPr>
        <w:t>三、综合评价情况及评价结论</w:t>
      </w:r>
    </w:p>
    <w:p>
      <w:pPr>
        <w:topLinePunct/>
        <w:spacing w:line="360" w:lineRule="auto"/>
        <w:ind w:firstLine="640" w:firstLineChars="200"/>
        <w:rPr>
          <w:sz w:val="32"/>
          <w:szCs w:val="32"/>
        </w:rPr>
      </w:pPr>
      <w:r>
        <w:rPr>
          <w:rFonts w:hint="eastAsia"/>
          <w:sz w:val="32"/>
          <w:szCs w:val="32"/>
        </w:rPr>
        <w:t>总体上，普通高校学生资助补助经费项目产出实际完成率、完成及时率基本达到绩效目标，质量达标率良好，产出成本可控。</w:t>
      </w:r>
    </w:p>
    <w:p>
      <w:pPr>
        <w:topLinePunct/>
        <w:spacing w:line="360" w:lineRule="auto"/>
        <w:ind w:firstLine="640" w:firstLineChars="200"/>
        <w:rPr>
          <w:sz w:val="32"/>
          <w:szCs w:val="32"/>
        </w:rPr>
      </w:pPr>
      <w:r>
        <w:rPr>
          <w:rFonts w:hint="eastAsia"/>
          <w:sz w:val="32"/>
          <w:szCs w:val="32"/>
        </w:rPr>
        <w:t>（一）指标评价得分</w:t>
      </w:r>
    </w:p>
    <w:p>
      <w:pPr>
        <w:topLinePunct/>
        <w:spacing w:line="360" w:lineRule="auto"/>
        <w:ind w:firstLine="640" w:firstLineChars="200"/>
        <w:rPr>
          <w:sz w:val="32"/>
          <w:szCs w:val="32"/>
        </w:rPr>
      </w:pPr>
      <w:r>
        <w:rPr>
          <w:rFonts w:hint="eastAsia"/>
          <w:sz w:val="32"/>
          <w:szCs w:val="32"/>
        </w:rPr>
        <w:t>评价组根据项目支出绩效评价指标体系，通过填报的基础数据，对2022年普通高校学生资助补助经费项目进行了独立客观的评价，最终评分结果为91分，绩效评价结果为“优”。</w:t>
      </w:r>
    </w:p>
    <w:p>
      <w:pPr>
        <w:topLinePunct/>
        <w:spacing w:line="520" w:lineRule="exact"/>
        <w:jc w:val="center"/>
        <w:rPr>
          <w:rFonts w:cs="仿宋" w:asciiTheme="minorEastAsia" w:hAnsiTheme="minorEastAsia" w:eastAsiaTheme="minorEastAsia"/>
          <w:szCs w:val="21"/>
        </w:rPr>
      </w:pPr>
      <w:r>
        <w:rPr>
          <w:rFonts w:hint="eastAsia" w:cs="仿宋" w:asciiTheme="minorEastAsia" w:hAnsiTheme="minorEastAsia" w:eastAsiaTheme="minorEastAsia"/>
          <w:kern w:val="2"/>
          <w:sz w:val="21"/>
          <w:szCs w:val="21"/>
        </w:rPr>
        <w:t>2022年度普通高校学生资助补助经费项目绩效评价得分汇总表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04" w:type="dxa"/>
          </w:tcPr>
          <w:p>
            <w:pPr>
              <w:widowControl w:val="0"/>
              <w:spacing w:line="360" w:lineRule="auto"/>
              <w:jc w:val="center"/>
              <w:rPr>
                <w:rFonts w:eastAsiaTheme="minorEastAsia"/>
              </w:rPr>
            </w:pPr>
            <w:r>
              <w:rPr>
                <w:rFonts w:hint="eastAsia"/>
              </w:rPr>
              <w:t>一级指标</w:t>
            </w:r>
          </w:p>
        </w:tc>
        <w:tc>
          <w:tcPr>
            <w:tcW w:w="1704" w:type="dxa"/>
          </w:tcPr>
          <w:p>
            <w:pPr>
              <w:widowControl w:val="0"/>
              <w:spacing w:line="360" w:lineRule="auto"/>
              <w:jc w:val="center"/>
              <w:rPr>
                <w:rFonts w:eastAsiaTheme="minorEastAsia"/>
              </w:rPr>
            </w:pPr>
            <w:r>
              <w:rPr>
                <w:rFonts w:hint="eastAsia"/>
              </w:rPr>
              <w:t>二级指标</w:t>
            </w:r>
          </w:p>
        </w:tc>
        <w:tc>
          <w:tcPr>
            <w:tcW w:w="1704" w:type="dxa"/>
          </w:tcPr>
          <w:p>
            <w:pPr>
              <w:widowControl w:val="0"/>
              <w:spacing w:line="360" w:lineRule="auto"/>
              <w:jc w:val="center"/>
              <w:rPr>
                <w:rFonts w:eastAsiaTheme="minorEastAsia"/>
              </w:rPr>
            </w:pPr>
            <w:r>
              <w:rPr>
                <w:rFonts w:hint="eastAsia"/>
              </w:rPr>
              <w:t>三级指标</w:t>
            </w:r>
          </w:p>
        </w:tc>
        <w:tc>
          <w:tcPr>
            <w:tcW w:w="1705" w:type="dxa"/>
          </w:tcPr>
          <w:p>
            <w:pPr>
              <w:widowControl w:val="0"/>
              <w:spacing w:line="360" w:lineRule="auto"/>
              <w:jc w:val="center"/>
              <w:rPr>
                <w:rFonts w:eastAsiaTheme="minorEastAsia"/>
              </w:rPr>
            </w:pPr>
            <w:r>
              <w:rPr>
                <w:rFonts w:hint="eastAsia"/>
              </w:rPr>
              <w:t>分值</w:t>
            </w:r>
          </w:p>
        </w:tc>
        <w:tc>
          <w:tcPr>
            <w:tcW w:w="1705" w:type="dxa"/>
          </w:tcPr>
          <w:p>
            <w:pPr>
              <w:widowControl w:val="0"/>
              <w:spacing w:line="360" w:lineRule="auto"/>
              <w:jc w:val="center"/>
              <w:rPr>
                <w:rFonts w:eastAsiaTheme="minorEastAsia"/>
              </w:rP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widowControl w:val="0"/>
              <w:spacing w:line="360" w:lineRule="auto"/>
              <w:jc w:val="center"/>
            </w:pPr>
          </w:p>
          <w:p>
            <w:pPr>
              <w:widowControl w:val="0"/>
              <w:spacing w:line="360" w:lineRule="auto"/>
              <w:jc w:val="center"/>
            </w:pPr>
          </w:p>
          <w:p>
            <w:pPr>
              <w:widowControl w:val="0"/>
              <w:spacing w:line="360" w:lineRule="auto"/>
              <w:ind w:firstLine="480" w:firstLineChars="200"/>
              <w:jc w:val="both"/>
              <w:rPr>
                <w:rFonts w:eastAsiaTheme="minorEastAsia"/>
              </w:rPr>
            </w:pPr>
            <w:r>
              <w:rPr>
                <w:rFonts w:hint="eastAsia"/>
              </w:rPr>
              <w:t>决策</w:t>
            </w:r>
          </w:p>
        </w:tc>
        <w:tc>
          <w:tcPr>
            <w:tcW w:w="1704" w:type="dxa"/>
            <w:vMerge w:val="restart"/>
          </w:tcPr>
          <w:p>
            <w:pPr>
              <w:widowControl w:val="0"/>
              <w:spacing w:line="360" w:lineRule="auto"/>
              <w:jc w:val="center"/>
              <w:rPr>
                <w:rFonts w:eastAsiaTheme="minorEastAsia"/>
              </w:rPr>
            </w:pPr>
            <w:r>
              <w:rPr>
                <w:rFonts w:hint="eastAsia"/>
              </w:rPr>
              <w:t>项目立项</w:t>
            </w:r>
          </w:p>
        </w:tc>
        <w:tc>
          <w:tcPr>
            <w:tcW w:w="1704" w:type="dxa"/>
          </w:tcPr>
          <w:p>
            <w:pPr>
              <w:widowControl w:val="0"/>
              <w:spacing w:line="360" w:lineRule="auto"/>
              <w:jc w:val="center"/>
              <w:rPr>
                <w:rFonts w:eastAsiaTheme="minorEastAsia"/>
              </w:rPr>
            </w:pPr>
            <w:r>
              <w:rPr>
                <w:rFonts w:hint="eastAsia"/>
              </w:rPr>
              <w:t>立项依据充分性</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continue"/>
          </w:tcPr>
          <w:p>
            <w:pPr>
              <w:widowControl w:val="0"/>
              <w:spacing w:line="360" w:lineRule="auto"/>
              <w:jc w:val="center"/>
            </w:pPr>
          </w:p>
        </w:tc>
        <w:tc>
          <w:tcPr>
            <w:tcW w:w="1704" w:type="dxa"/>
          </w:tcPr>
          <w:p>
            <w:pPr>
              <w:widowControl w:val="0"/>
              <w:spacing w:line="360" w:lineRule="auto"/>
              <w:jc w:val="center"/>
              <w:rPr>
                <w:rFonts w:eastAsiaTheme="minorEastAsia"/>
              </w:rPr>
            </w:pPr>
            <w:r>
              <w:rPr>
                <w:rFonts w:hint="eastAsia"/>
              </w:rPr>
              <w:t>立项程序规范性</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restart"/>
          </w:tcPr>
          <w:p>
            <w:pPr>
              <w:widowControl w:val="0"/>
              <w:spacing w:line="360" w:lineRule="auto"/>
              <w:jc w:val="center"/>
              <w:rPr>
                <w:rFonts w:eastAsiaTheme="minorEastAsia"/>
              </w:rPr>
            </w:pPr>
            <w:r>
              <w:rPr>
                <w:rFonts w:hint="eastAsia"/>
              </w:rPr>
              <w:t>绩效目标</w:t>
            </w:r>
          </w:p>
        </w:tc>
        <w:tc>
          <w:tcPr>
            <w:tcW w:w="1704" w:type="dxa"/>
          </w:tcPr>
          <w:p>
            <w:pPr>
              <w:widowControl w:val="0"/>
              <w:spacing w:line="360" w:lineRule="auto"/>
              <w:jc w:val="center"/>
              <w:rPr>
                <w:rFonts w:eastAsiaTheme="minorEastAsia"/>
              </w:rPr>
            </w:pPr>
            <w:r>
              <w:rPr>
                <w:rFonts w:hint="eastAsia"/>
              </w:rPr>
              <w:t>绩效目标合理性</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continue"/>
          </w:tcPr>
          <w:p>
            <w:pPr>
              <w:widowControl w:val="0"/>
              <w:spacing w:line="360" w:lineRule="auto"/>
              <w:jc w:val="center"/>
            </w:pPr>
          </w:p>
        </w:tc>
        <w:tc>
          <w:tcPr>
            <w:tcW w:w="1704" w:type="dxa"/>
          </w:tcPr>
          <w:p>
            <w:pPr>
              <w:widowControl w:val="0"/>
              <w:spacing w:line="360" w:lineRule="auto"/>
              <w:jc w:val="center"/>
            </w:pPr>
            <w:r>
              <w:rPr>
                <w:rFonts w:hint="eastAsia"/>
              </w:rPr>
              <w:t>绩效指标明确性</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restart"/>
          </w:tcPr>
          <w:p>
            <w:pPr>
              <w:widowControl w:val="0"/>
              <w:spacing w:line="360" w:lineRule="auto"/>
              <w:jc w:val="center"/>
              <w:rPr>
                <w:rFonts w:eastAsiaTheme="minorEastAsia"/>
              </w:rPr>
            </w:pPr>
            <w:r>
              <w:rPr>
                <w:rFonts w:hint="eastAsia"/>
              </w:rPr>
              <w:t>资金投入</w:t>
            </w:r>
          </w:p>
        </w:tc>
        <w:tc>
          <w:tcPr>
            <w:tcW w:w="1704" w:type="dxa"/>
          </w:tcPr>
          <w:p>
            <w:pPr>
              <w:widowControl w:val="0"/>
              <w:spacing w:line="360" w:lineRule="auto"/>
              <w:jc w:val="center"/>
              <w:rPr>
                <w:rFonts w:eastAsiaTheme="minorEastAsia"/>
              </w:rPr>
            </w:pPr>
            <w:r>
              <w:rPr>
                <w:rFonts w:hint="eastAsia"/>
              </w:rPr>
              <w:t>预算编制科学性</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continue"/>
          </w:tcPr>
          <w:p>
            <w:pPr>
              <w:widowControl w:val="0"/>
              <w:spacing w:line="360" w:lineRule="auto"/>
              <w:jc w:val="center"/>
            </w:pPr>
          </w:p>
        </w:tc>
        <w:tc>
          <w:tcPr>
            <w:tcW w:w="1704" w:type="dxa"/>
          </w:tcPr>
          <w:p>
            <w:pPr>
              <w:widowControl w:val="0"/>
              <w:spacing w:line="360" w:lineRule="auto"/>
              <w:jc w:val="center"/>
              <w:rPr>
                <w:rFonts w:eastAsiaTheme="minorEastAsia"/>
              </w:rPr>
            </w:pPr>
            <w:r>
              <w:rPr>
                <w:rFonts w:hint="eastAsia"/>
              </w:rPr>
              <w:t>资金分配合理性</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widowControl w:val="0"/>
              <w:spacing w:line="360" w:lineRule="auto"/>
              <w:jc w:val="center"/>
            </w:pPr>
          </w:p>
          <w:p>
            <w:pPr>
              <w:widowControl w:val="0"/>
              <w:spacing w:line="360" w:lineRule="auto"/>
              <w:jc w:val="center"/>
            </w:pPr>
          </w:p>
          <w:p>
            <w:pPr>
              <w:widowControl w:val="0"/>
              <w:spacing w:line="360" w:lineRule="auto"/>
              <w:jc w:val="center"/>
              <w:rPr>
                <w:rFonts w:eastAsiaTheme="minorEastAsia"/>
              </w:rPr>
            </w:pPr>
            <w:r>
              <w:rPr>
                <w:rFonts w:hint="eastAsia"/>
              </w:rPr>
              <w:t>过程</w:t>
            </w:r>
          </w:p>
        </w:tc>
        <w:tc>
          <w:tcPr>
            <w:tcW w:w="1704" w:type="dxa"/>
            <w:vMerge w:val="restart"/>
          </w:tcPr>
          <w:p>
            <w:pPr>
              <w:widowControl w:val="0"/>
              <w:spacing w:line="360" w:lineRule="auto"/>
              <w:jc w:val="center"/>
              <w:rPr>
                <w:rFonts w:eastAsiaTheme="minorEastAsia"/>
              </w:rPr>
            </w:pPr>
            <w:r>
              <w:rPr>
                <w:rFonts w:hint="eastAsia"/>
              </w:rPr>
              <w:t>资金管理</w:t>
            </w:r>
          </w:p>
        </w:tc>
        <w:tc>
          <w:tcPr>
            <w:tcW w:w="1704" w:type="dxa"/>
          </w:tcPr>
          <w:p>
            <w:pPr>
              <w:widowControl w:val="0"/>
              <w:spacing w:line="360" w:lineRule="auto"/>
              <w:jc w:val="center"/>
              <w:rPr>
                <w:rFonts w:eastAsiaTheme="minorEastAsia"/>
              </w:rPr>
            </w:pPr>
            <w:r>
              <w:rPr>
                <w:rFonts w:hint="eastAsia"/>
              </w:rPr>
              <w:t>资金到位率</w:t>
            </w:r>
          </w:p>
        </w:tc>
        <w:tc>
          <w:tcPr>
            <w:tcW w:w="1705" w:type="dxa"/>
          </w:tcPr>
          <w:p>
            <w:pPr>
              <w:widowControl w:val="0"/>
              <w:spacing w:line="360" w:lineRule="auto"/>
              <w:jc w:val="center"/>
              <w:rPr>
                <w:rFonts w:eastAsiaTheme="minorEastAsia"/>
              </w:rPr>
            </w:pPr>
            <w:r>
              <w:rPr>
                <w:rFonts w:hint="eastAsia"/>
              </w:rPr>
              <w:t>3</w:t>
            </w:r>
          </w:p>
        </w:tc>
        <w:tc>
          <w:tcPr>
            <w:tcW w:w="1705" w:type="dxa"/>
          </w:tcPr>
          <w:p>
            <w:pPr>
              <w:widowControl w:val="0"/>
              <w:spacing w:line="360" w:lineRule="auto"/>
              <w:jc w:val="center"/>
              <w:rPr>
                <w:rFonts w:eastAsiaTheme="minorEastAsia"/>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continue"/>
          </w:tcPr>
          <w:p>
            <w:pPr>
              <w:widowControl w:val="0"/>
              <w:spacing w:line="360" w:lineRule="auto"/>
              <w:jc w:val="center"/>
            </w:pPr>
          </w:p>
        </w:tc>
        <w:tc>
          <w:tcPr>
            <w:tcW w:w="1704" w:type="dxa"/>
          </w:tcPr>
          <w:p>
            <w:pPr>
              <w:widowControl w:val="0"/>
              <w:spacing w:line="360" w:lineRule="auto"/>
              <w:jc w:val="center"/>
              <w:rPr>
                <w:rFonts w:eastAsiaTheme="minorEastAsia"/>
              </w:rPr>
            </w:pPr>
            <w:r>
              <w:rPr>
                <w:rFonts w:hint="eastAsia"/>
              </w:rPr>
              <w:t>预算执行率</w:t>
            </w:r>
          </w:p>
        </w:tc>
        <w:tc>
          <w:tcPr>
            <w:tcW w:w="1705" w:type="dxa"/>
          </w:tcPr>
          <w:p>
            <w:pPr>
              <w:widowControl w:val="0"/>
              <w:spacing w:line="360" w:lineRule="auto"/>
              <w:jc w:val="center"/>
              <w:rPr>
                <w:rFonts w:eastAsiaTheme="minorEastAsia"/>
              </w:rPr>
            </w:pPr>
            <w:r>
              <w:rPr>
                <w:rFonts w:hint="eastAsia"/>
              </w:rPr>
              <w:t>3</w:t>
            </w:r>
          </w:p>
        </w:tc>
        <w:tc>
          <w:tcPr>
            <w:tcW w:w="1705" w:type="dxa"/>
          </w:tcPr>
          <w:p>
            <w:pPr>
              <w:widowControl w:val="0"/>
              <w:spacing w:line="360" w:lineRule="auto"/>
              <w:jc w:val="center"/>
              <w:rPr>
                <w:rFonts w:eastAsiaTheme="minorEastAsia"/>
              </w:rP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continue"/>
          </w:tcPr>
          <w:p>
            <w:pPr>
              <w:widowControl w:val="0"/>
              <w:spacing w:line="360" w:lineRule="auto"/>
              <w:jc w:val="center"/>
            </w:pPr>
          </w:p>
        </w:tc>
        <w:tc>
          <w:tcPr>
            <w:tcW w:w="1704" w:type="dxa"/>
          </w:tcPr>
          <w:p>
            <w:pPr>
              <w:widowControl w:val="0"/>
              <w:spacing w:line="360" w:lineRule="auto"/>
              <w:jc w:val="center"/>
              <w:rPr>
                <w:rFonts w:eastAsiaTheme="minorEastAsia"/>
              </w:rPr>
            </w:pPr>
            <w:r>
              <w:rPr>
                <w:rFonts w:hint="eastAsia"/>
              </w:rPr>
              <w:t>资金使用合规性</w:t>
            </w:r>
          </w:p>
        </w:tc>
        <w:tc>
          <w:tcPr>
            <w:tcW w:w="1705" w:type="dxa"/>
          </w:tcPr>
          <w:p>
            <w:pPr>
              <w:widowControl w:val="0"/>
              <w:spacing w:line="360" w:lineRule="auto"/>
              <w:jc w:val="center"/>
              <w:rPr>
                <w:rFonts w:eastAsiaTheme="minorEastAsia"/>
              </w:rPr>
            </w:pPr>
            <w:r>
              <w:rPr>
                <w:rFonts w:hint="eastAsia"/>
              </w:rPr>
              <w:t>4</w:t>
            </w:r>
          </w:p>
        </w:tc>
        <w:tc>
          <w:tcPr>
            <w:tcW w:w="1705" w:type="dxa"/>
          </w:tcPr>
          <w:p>
            <w:pPr>
              <w:widowControl w:val="0"/>
              <w:spacing w:line="360" w:lineRule="auto"/>
              <w:jc w:val="center"/>
              <w:rPr>
                <w:rFonts w:eastAsiaTheme="minor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restart"/>
          </w:tcPr>
          <w:p>
            <w:pPr>
              <w:widowControl w:val="0"/>
              <w:spacing w:line="360" w:lineRule="auto"/>
              <w:jc w:val="center"/>
              <w:rPr>
                <w:rFonts w:eastAsiaTheme="minorEastAsia"/>
              </w:rPr>
            </w:pPr>
            <w:r>
              <w:rPr>
                <w:rFonts w:hint="eastAsia"/>
              </w:rPr>
              <w:t>组织实施</w:t>
            </w:r>
          </w:p>
        </w:tc>
        <w:tc>
          <w:tcPr>
            <w:tcW w:w="1704" w:type="dxa"/>
          </w:tcPr>
          <w:p>
            <w:pPr>
              <w:widowControl w:val="0"/>
              <w:spacing w:line="360" w:lineRule="auto"/>
              <w:jc w:val="center"/>
              <w:rPr>
                <w:rFonts w:eastAsiaTheme="minorEastAsia"/>
              </w:rPr>
            </w:pPr>
            <w:r>
              <w:rPr>
                <w:rFonts w:hint="eastAsia"/>
              </w:rPr>
              <w:t>管理制度健全性</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continue"/>
          </w:tcPr>
          <w:p>
            <w:pPr>
              <w:widowControl w:val="0"/>
              <w:spacing w:line="360" w:lineRule="auto"/>
              <w:jc w:val="center"/>
            </w:pPr>
          </w:p>
        </w:tc>
        <w:tc>
          <w:tcPr>
            <w:tcW w:w="1704" w:type="dxa"/>
          </w:tcPr>
          <w:p>
            <w:pPr>
              <w:widowControl w:val="0"/>
              <w:spacing w:line="360" w:lineRule="auto"/>
              <w:jc w:val="center"/>
              <w:rPr>
                <w:rFonts w:eastAsiaTheme="minorEastAsia"/>
              </w:rPr>
            </w:pPr>
            <w:r>
              <w:rPr>
                <w:rFonts w:hint="eastAsia"/>
              </w:rPr>
              <w:t>制度执行有效性</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704" w:type="dxa"/>
            <w:vMerge w:val="restart"/>
          </w:tcPr>
          <w:p>
            <w:pPr>
              <w:widowControl w:val="0"/>
              <w:spacing w:line="360" w:lineRule="auto"/>
              <w:jc w:val="both"/>
            </w:pPr>
          </w:p>
          <w:p>
            <w:pPr>
              <w:widowControl w:val="0"/>
              <w:spacing w:line="360" w:lineRule="auto"/>
              <w:jc w:val="center"/>
              <w:rPr>
                <w:rFonts w:eastAsiaTheme="minorEastAsia"/>
              </w:rPr>
            </w:pPr>
            <w:r>
              <w:rPr>
                <w:rFonts w:hint="eastAsia"/>
              </w:rPr>
              <w:t>产出</w:t>
            </w:r>
          </w:p>
        </w:tc>
        <w:tc>
          <w:tcPr>
            <w:tcW w:w="1704" w:type="dxa"/>
          </w:tcPr>
          <w:p>
            <w:pPr>
              <w:widowControl w:val="0"/>
              <w:spacing w:line="360" w:lineRule="auto"/>
              <w:jc w:val="center"/>
              <w:rPr>
                <w:rFonts w:eastAsiaTheme="minorEastAsia"/>
              </w:rPr>
            </w:pPr>
            <w:r>
              <w:rPr>
                <w:rFonts w:hint="eastAsia"/>
              </w:rPr>
              <w:t>产出数量</w:t>
            </w:r>
          </w:p>
        </w:tc>
        <w:tc>
          <w:tcPr>
            <w:tcW w:w="1704" w:type="dxa"/>
          </w:tcPr>
          <w:p>
            <w:pPr>
              <w:widowControl w:val="0"/>
              <w:spacing w:line="360" w:lineRule="auto"/>
              <w:jc w:val="center"/>
              <w:rPr>
                <w:rFonts w:eastAsiaTheme="minorEastAsia"/>
              </w:rPr>
            </w:pPr>
            <w:r>
              <w:rPr>
                <w:rFonts w:hint="eastAsia"/>
              </w:rPr>
              <w:t>实际完成率</w:t>
            </w:r>
          </w:p>
        </w:tc>
        <w:tc>
          <w:tcPr>
            <w:tcW w:w="1705" w:type="dxa"/>
          </w:tcPr>
          <w:p>
            <w:pPr>
              <w:widowControl w:val="0"/>
              <w:spacing w:line="360" w:lineRule="auto"/>
              <w:jc w:val="center"/>
              <w:rPr>
                <w:rFonts w:eastAsiaTheme="minorEastAsia"/>
              </w:rPr>
            </w:pPr>
            <w:r>
              <w:rPr>
                <w:rFonts w:hint="eastAsia"/>
              </w:rPr>
              <w:t>10</w:t>
            </w:r>
          </w:p>
        </w:tc>
        <w:tc>
          <w:tcPr>
            <w:tcW w:w="1705" w:type="dxa"/>
          </w:tcPr>
          <w:p>
            <w:pPr>
              <w:widowControl w:val="0"/>
              <w:spacing w:line="360" w:lineRule="auto"/>
              <w:jc w:val="center"/>
              <w:rPr>
                <w:rFonts w:eastAsiaTheme="minorEastAsia"/>
              </w:rPr>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tcPr>
          <w:p>
            <w:pPr>
              <w:widowControl w:val="0"/>
              <w:spacing w:line="360" w:lineRule="auto"/>
              <w:jc w:val="center"/>
            </w:pPr>
            <w:r>
              <w:rPr>
                <w:rFonts w:hint="eastAsia"/>
              </w:rPr>
              <w:t>产出质量</w:t>
            </w:r>
          </w:p>
        </w:tc>
        <w:tc>
          <w:tcPr>
            <w:tcW w:w="1704" w:type="dxa"/>
          </w:tcPr>
          <w:p>
            <w:pPr>
              <w:widowControl w:val="0"/>
              <w:spacing w:line="360" w:lineRule="auto"/>
              <w:jc w:val="center"/>
            </w:pPr>
            <w:r>
              <w:rPr>
                <w:rFonts w:hint="eastAsia"/>
              </w:rPr>
              <w:t>质量达标率</w:t>
            </w:r>
          </w:p>
        </w:tc>
        <w:tc>
          <w:tcPr>
            <w:tcW w:w="1705" w:type="dxa"/>
          </w:tcPr>
          <w:p>
            <w:pPr>
              <w:widowControl w:val="0"/>
              <w:spacing w:line="360" w:lineRule="auto"/>
              <w:jc w:val="center"/>
              <w:rPr>
                <w:rFonts w:eastAsiaTheme="minorEastAsia"/>
              </w:rPr>
            </w:pPr>
            <w:r>
              <w:rPr>
                <w:rFonts w:hint="eastAsia"/>
              </w:rPr>
              <w:t>10</w:t>
            </w:r>
          </w:p>
        </w:tc>
        <w:tc>
          <w:tcPr>
            <w:tcW w:w="1705" w:type="dxa"/>
          </w:tcPr>
          <w:p>
            <w:pPr>
              <w:widowControl w:val="0"/>
              <w:spacing w:line="360" w:lineRule="auto"/>
              <w:jc w:val="center"/>
              <w:rPr>
                <w:rFonts w:eastAsiaTheme="minor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tcPr>
          <w:p>
            <w:pPr>
              <w:widowControl w:val="0"/>
              <w:spacing w:line="360" w:lineRule="auto"/>
              <w:jc w:val="center"/>
            </w:pPr>
            <w:r>
              <w:rPr>
                <w:rFonts w:hint="eastAsia"/>
              </w:rPr>
              <w:t>产出时效</w:t>
            </w:r>
          </w:p>
        </w:tc>
        <w:tc>
          <w:tcPr>
            <w:tcW w:w="1704" w:type="dxa"/>
          </w:tcPr>
          <w:p>
            <w:pPr>
              <w:widowControl w:val="0"/>
              <w:spacing w:line="360" w:lineRule="auto"/>
              <w:jc w:val="center"/>
            </w:pPr>
            <w:r>
              <w:rPr>
                <w:rFonts w:hint="eastAsia"/>
              </w:rPr>
              <w:t>完成及时性</w:t>
            </w:r>
          </w:p>
        </w:tc>
        <w:tc>
          <w:tcPr>
            <w:tcW w:w="1705" w:type="dxa"/>
          </w:tcPr>
          <w:p>
            <w:pPr>
              <w:widowControl w:val="0"/>
              <w:spacing w:line="360" w:lineRule="auto"/>
              <w:jc w:val="center"/>
              <w:rPr>
                <w:rFonts w:eastAsiaTheme="minorEastAsia"/>
              </w:rPr>
            </w:pPr>
            <w:r>
              <w:rPr>
                <w:rFonts w:hint="eastAsia"/>
              </w:rPr>
              <w:t>10</w:t>
            </w:r>
          </w:p>
        </w:tc>
        <w:tc>
          <w:tcPr>
            <w:tcW w:w="1705" w:type="dxa"/>
          </w:tcPr>
          <w:p>
            <w:pPr>
              <w:widowControl w:val="0"/>
              <w:spacing w:line="360" w:lineRule="auto"/>
              <w:jc w:val="center"/>
              <w:rPr>
                <w:rFonts w:eastAsiaTheme="minorEastAsia"/>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tcPr>
          <w:p>
            <w:pPr>
              <w:widowControl w:val="0"/>
              <w:spacing w:line="360" w:lineRule="auto"/>
              <w:jc w:val="center"/>
            </w:pPr>
            <w:r>
              <w:rPr>
                <w:rFonts w:hint="eastAsia"/>
              </w:rPr>
              <w:t>产出成本</w:t>
            </w:r>
          </w:p>
        </w:tc>
        <w:tc>
          <w:tcPr>
            <w:tcW w:w="1704" w:type="dxa"/>
          </w:tcPr>
          <w:p>
            <w:pPr>
              <w:widowControl w:val="0"/>
              <w:spacing w:line="360" w:lineRule="auto"/>
              <w:jc w:val="center"/>
            </w:pPr>
            <w:r>
              <w:rPr>
                <w:rFonts w:hint="eastAsia"/>
              </w:rPr>
              <w:t>成本节约率</w:t>
            </w:r>
          </w:p>
        </w:tc>
        <w:tc>
          <w:tcPr>
            <w:tcW w:w="1705" w:type="dxa"/>
          </w:tcPr>
          <w:p>
            <w:pPr>
              <w:widowControl w:val="0"/>
              <w:spacing w:line="360" w:lineRule="auto"/>
              <w:jc w:val="center"/>
              <w:rPr>
                <w:rFonts w:eastAsiaTheme="minorEastAsia"/>
              </w:rPr>
            </w:pPr>
            <w:r>
              <w:rPr>
                <w:rFonts w:hint="eastAsia"/>
              </w:rPr>
              <w:t>10</w:t>
            </w:r>
          </w:p>
        </w:tc>
        <w:tc>
          <w:tcPr>
            <w:tcW w:w="1705" w:type="dxa"/>
          </w:tcPr>
          <w:p>
            <w:pPr>
              <w:widowControl w:val="0"/>
              <w:spacing w:line="360" w:lineRule="auto"/>
              <w:jc w:val="center"/>
              <w:rPr>
                <w:rFonts w:eastAsiaTheme="minorEastAsia"/>
              </w:rPr>
            </w:pPr>
            <w:r>
              <w:rPr>
                <w:rFonts w:hint="eastAsi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widowControl w:val="0"/>
              <w:spacing w:line="360" w:lineRule="auto"/>
              <w:jc w:val="center"/>
            </w:pPr>
            <w:r>
              <w:rPr>
                <w:rFonts w:hint="eastAsia"/>
              </w:rPr>
              <w:t>实施效果</w:t>
            </w:r>
          </w:p>
        </w:tc>
        <w:tc>
          <w:tcPr>
            <w:tcW w:w="1704" w:type="dxa"/>
            <w:vMerge w:val="restart"/>
          </w:tcPr>
          <w:p>
            <w:pPr>
              <w:widowControl w:val="0"/>
              <w:spacing w:line="360" w:lineRule="auto"/>
              <w:jc w:val="center"/>
            </w:pPr>
            <w:r>
              <w:rPr>
                <w:rFonts w:hint="eastAsia"/>
              </w:rPr>
              <w:t>项目效益</w:t>
            </w:r>
          </w:p>
        </w:tc>
        <w:tc>
          <w:tcPr>
            <w:tcW w:w="1704" w:type="dxa"/>
          </w:tcPr>
          <w:p>
            <w:pPr>
              <w:widowControl w:val="0"/>
              <w:spacing w:line="360" w:lineRule="auto"/>
              <w:jc w:val="center"/>
            </w:pPr>
            <w:r>
              <w:rPr>
                <w:rFonts w:hint="eastAsia"/>
              </w:rPr>
              <w:t>实施效益</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widowControl w:val="0"/>
              <w:spacing w:line="360" w:lineRule="auto"/>
              <w:jc w:val="center"/>
            </w:pPr>
          </w:p>
        </w:tc>
        <w:tc>
          <w:tcPr>
            <w:tcW w:w="1704" w:type="dxa"/>
            <w:vMerge w:val="continue"/>
          </w:tcPr>
          <w:p>
            <w:pPr>
              <w:widowControl w:val="0"/>
              <w:spacing w:line="360" w:lineRule="auto"/>
              <w:jc w:val="center"/>
            </w:pPr>
          </w:p>
        </w:tc>
        <w:tc>
          <w:tcPr>
            <w:tcW w:w="1704" w:type="dxa"/>
          </w:tcPr>
          <w:p>
            <w:pPr>
              <w:widowControl w:val="0"/>
              <w:spacing w:line="360" w:lineRule="auto"/>
              <w:jc w:val="center"/>
            </w:pPr>
            <w:r>
              <w:rPr>
                <w:rFonts w:hint="eastAsia"/>
              </w:rPr>
              <w:t>满意度</w:t>
            </w:r>
          </w:p>
        </w:tc>
        <w:tc>
          <w:tcPr>
            <w:tcW w:w="1705" w:type="dxa"/>
          </w:tcPr>
          <w:p>
            <w:pPr>
              <w:widowControl w:val="0"/>
              <w:spacing w:line="360" w:lineRule="auto"/>
              <w:jc w:val="center"/>
              <w:rPr>
                <w:rFonts w:eastAsiaTheme="minorEastAsia"/>
              </w:rPr>
            </w:pPr>
            <w:r>
              <w:rPr>
                <w:rFonts w:hint="eastAsia"/>
              </w:rPr>
              <w:t>5</w:t>
            </w:r>
          </w:p>
        </w:tc>
        <w:tc>
          <w:tcPr>
            <w:tcW w:w="1705" w:type="dxa"/>
          </w:tcPr>
          <w:p>
            <w:pPr>
              <w:widowControl w:val="0"/>
              <w:spacing w:line="360" w:lineRule="auto"/>
              <w:jc w:val="center"/>
              <w:rPr>
                <w:rFonts w:eastAsiaTheme="minorEastAsia"/>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3"/>
          </w:tcPr>
          <w:p>
            <w:pPr>
              <w:widowControl w:val="0"/>
              <w:spacing w:line="360" w:lineRule="auto"/>
              <w:jc w:val="center"/>
            </w:pPr>
            <w:r>
              <w:rPr>
                <w:rFonts w:hint="eastAsia"/>
              </w:rPr>
              <w:t>合计</w:t>
            </w:r>
          </w:p>
        </w:tc>
        <w:tc>
          <w:tcPr>
            <w:tcW w:w="1705" w:type="dxa"/>
          </w:tcPr>
          <w:p>
            <w:pPr>
              <w:widowControl w:val="0"/>
              <w:spacing w:line="360" w:lineRule="auto"/>
              <w:jc w:val="center"/>
            </w:pPr>
            <w:r>
              <w:rPr>
                <w:rFonts w:hint="eastAsia"/>
              </w:rPr>
              <w:t>100</w:t>
            </w:r>
          </w:p>
        </w:tc>
        <w:tc>
          <w:tcPr>
            <w:tcW w:w="1705" w:type="dxa"/>
          </w:tcPr>
          <w:p>
            <w:pPr>
              <w:widowControl w:val="0"/>
              <w:spacing w:line="360" w:lineRule="auto"/>
              <w:jc w:val="center"/>
            </w:pPr>
            <w:r>
              <w:rPr>
                <w:rFonts w:hint="eastAsia"/>
              </w:rPr>
              <w:t>91</w:t>
            </w:r>
          </w:p>
        </w:tc>
      </w:tr>
    </w:tbl>
    <w:p>
      <w:pPr>
        <w:topLinePunct/>
        <w:spacing w:line="520" w:lineRule="exact"/>
        <w:rPr>
          <w:rFonts w:ascii="仿宋" w:hAnsi="仿宋" w:eastAsia="仿宋" w:cs="仿宋"/>
          <w:sz w:val="32"/>
          <w:szCs w:val="32"/>
        </w:rPr>
      </w:pPr>
    </w:p>
    <w:p>
      <w:pPr>
        <w:topLinePunct/>
        <w:spacing w:line="360" w:lineRule="auto"/>
        <w:ind w:firstLine="640" w:firstLineChars="200"/>
        <w:rPr>
          <w:sz w:val="32"/>
          <w:szCs w:val="32"/>
        </w:rPr>
      </w:pPr>
      <w:r>
        <w:rPr>
          <w:rFonts w:hint="eastAsia"/>
          <w:sz w:val="32"/>
          <w:szCs w:val="32"/>
        </w:rPr>
        <w:t>（二）绩效目标完成情况</w:t>
      </w:r>
    </w:p>
    <w:p>
      <w:pPr>
        <w:topLinePunct/>
        <w:spacing w:line="360" w:lineRule="auto"/>
        <w:ind w:firstLine="640" w:firstLineChars="200"/>
        <w:rPr>
          <w:sz w:val="32"/>
          <w:szCs w:val="32"/>
        </w:rPr>
      </w:pPr>
      <w:r>
        <w:rPr>
          <w:sz w:val="32"/>
          <w:szCs w:val="32"/>
        </w:rPr>
        <w:t>通过上述绩效指标分析,该项目绩效指标</w:t>
      </w:r>
      <w:r>
        <w:rPr>
          <w:rFonts w:hint="eastAsia"/>
          <w:sz w:val="32"/>
          <w:szCs w:val="32"/>
        </w:rPr>
        <w:t>基本</w:t>
      </w:r>
      <w:r>
        <w:rPr>
          <w:sz w:val="32"/>
          <w:szCs w:val="32"/>
        </w:rPr>
        <w:t>完成设定值</w:t>
      </w:r>
      <w:r>
        <w:rPr>
          <w:rFonts w:hint="eastAsia"/>
          <w:sz w:val="32"/>
          <w:szCs w:val="32"/>
        </w:rPr>
        <w:t>，</w:t>
      </w:r>
      <w:r>
        <w:rPr>
          <w:sz w:val="32"/>
          <w:szCs w:val="32"/>
        </w:rPr>
        <w:t>经费主要</w:t>
      </w:r>
      <w:r>
        <w:rPr>
          <w:rFonts w:hint="eastAsia"/>
          <w:sz w:val="32"/>
          <w:szCs w:val="32"/>
        </w:rPr>
        <w:t>满足学院1577名学生国家助学金足额发放，47名学生应征入伍义务兵学费补偿足额发放，269名学生退役士兵国家助学金足额发放。</w:t>
      </w:r>
    </w:p>
    <w:p>
      <w:pPr>
        <w:topLinePunct/>
        <w:spacing w:line="360" w:lineRule="auto"/>
        <w:ind w:firstLine="640" w:firstLineChars="200"/>
        <w:rPr>
          <w:sz w:val="32"/>
          <w:szCs w:val="32"/>
        </w:rPr>
      </w:pPr>
      <w:r>
        <w:rPr>
          <w:sz w:val="32"/>
          <w:szCs w:val="32"/>
        </w:rPr>
        <w:t>本次评价认为:该项目绩效目标完成情况良好。</w:t>
      </w:r>
    </w:p>
    <w:p>
      <w:pPr>
        <w:topLinePunct/>
        <w:spacing w:line="520" w:lineRule="exact"/>
        <w:rPr>
          <w:rFonts w:ascii="黑体" w:hAnsi="黑体" w:eastAsia="黑体" w:cs="黑体"/>
          <w:sz w:val="32"/>
          <w:szCs w:val="32"/>
        </w:rPr>
      </w:pPr>
      <w:r>
        <w:rPr>
          <w:rFonts w:hint="eastAsia" w:ascii="黑体" w:hAnsi="黑体" w:eastAsia="黑体" w:cs="黑体"/>
          <w:kern w:val="2"/>
          <w:sz w:val="32"/>
          <w:szCs w:val="32"/>
        </w:rPr>
        <w:t>四、其他需要说明的问题</w:t>
      </w:r>
    </w:p>
    <w:p>
      <w:pPr>
        <w:topLinePunct/>
        <w:spacing w:line="360" w:lineRule="auto"/>
        <w:ind w:firstLine="640" w:firstLineChars="200"/>
        <w:rPr>
          <w:sz w:val="32"/>
          <w:szCs w:val="32"/>
        </w:rPr>
      </w:pPr>
      <w:r>
        <w:rPr>
          <w:rFonts w:hint="eastAsia"/>
          <w:sz w:val="32"/>
          <w:szCs w:val="32"/>
        </w:rPr>
        <w:t>（一）后续工作计划</w:t>
      </w:r>
    </w:p>
    <w:p>
      <w:pPr>
        <w:topLinePunct/>
        <w:spacing w:line="360" w:lineRule="auto"/>
        <w:ind w:firstLine="640" w:firstLineChars="200"/>
        <w:rPr>
          <w:sz w:val="32"/>
          <w:szCs w:val="32"/>
        </w:rPr>
      </w:pPr>
      <w:r>
        <w:rPr>
          <w:rFonts w:hint="eastAsia"/>
          <w:sz w:val="32"/>
          <w:szCs w:val="32"/>
        </w:rPr>
        <w:t>对于已完成的项目绩效工作进行经验总结，提出改进措施；对于正在进行的项目绩效工作，做好绩效目标的及时调整、绩效监控以及项目绩效自评工作。</w:t>
      </w:r>
    </w:p>
    <w:p>
      <w:pPr>
        <w:topLinePunct/>
        <w:spacing w:line="360" w:lineRule="auto"/>
        <w:ind w:firstLine="640" w:firstLineChars="200"/>
        <w:rPr>
          <w:sz w:val="32"/>
          <w:szCs w:val="32"/>
        </w:rPr>
      </w:pPr>
      <w:r>
        <w:rPr>
          <w:rFonts w:hint="eastAsia"/>
          <w:sz w:val="32"/>
          <w:szCs w:val="32"/>
        </w:rPr>
        <w:t>（二）主要经验及做法、存在问题及建议</w:t>
      </w:r>
    </w:p>
    <w:p>
      <w:pPr>
        <w:topLinePunct/>
        <w:spacing w:line="360" w:lineRule="auto"/>
        <w:ind w:firstLine="640" w:firstLineChars="200"/>
        <w:rPr>
          <w:sz w:val="32"/>
          <w:szCs w:val="32"/>
        </w:rPr>
      </w:pPr>
      <w:r>
        <w:rPr>
          <w:rFonts w:hint="eastAsia"/>
          <w:sz w:val="32"/>
          <w:szCs w:val="32"/>
        </w:rPr>
        <w:t>学院要不断强化预算管理意识，不断推进专项资金绩效管理工作落实、完善，以确保项目资金使用质量，进一步提高本校中高等职业教育的教学质量。</w:t>
      </w:r>
    </w:p>
    <w:p/>
    <w:p/>
    <w:p>
      <w:pPr>
        <w:spacing w:before="100" w:beforeAutospacing="1" w:after="100" w:afterAutospacing="1"/>
        <w:ind w:firstLine="640"/>
        <w:jc w:val="both"/>
      </w:pPr>
    </w:p>
    <w:p>
      <w:pPr>
        <w:pStyle w:val="3"/>
        <w:keepNext/>
        <w:spacing w:line="360" w:lineRule="auto"/>
        <w:jc w:val="center"/>
      </w:pPr>
      <w:r>
        <w:rPr>
          <w:rFonts w:hint="eastAsia" w:ascii="方正小标宋简体" w:eastAsia="方正小标宋简体"/>
        </w:rPr>
        <w:t>第三部分  名词解释</w:t>
      </w:r>
    </w:p>
    <w:p>
      <w:pPr>
        <w:spacing w:before="100" w:beforeAutospacing="1" w:after="100" w:afterAutospacing="1" w:line="560" w:lineRule="atLeast"/>
        <w:ind w:firstLine="643"/>
        <w:jc w:val="both"/>
      </w:pPr>
      <w:r>
        <w:rPr>
          <w:rFonts w:hint="eastAsia"/>
          <w:b/>
          <w:bCs/>
          <w:sz w:val="32"/>
          <w:szCs w:val="32"/>
        </w:rPr>
        <w:t>一、财政拨款收入：</w:t>
      </w:r>
      <w:r>
        <w:rPr>
          <w:rFonts w:hint="eastAsia"/>
          <w:sz w:val="32"/>
          <w:szCs w:val="32"/>
        </w:rPr>
        <w:t>从同级财政部门取得的各类财政拨款，包括一般公共预算财政拨款、政府性基金预算财政拨款、国有资本经营预算财政拨款。</w:t>
      </w:r>
    </w:p>
    <w:p>
      <w:pPr>
        <w:spacing w:before="100" w:beforeAutospacing="1" w:after="100" w:afterAutospacing="1" w:line="560" w:lineRule="atLeast"/>
        <w:ind w:firstLine="643"/>
        <w:jc w:val="both"/>
      </w:pPr>
      <w:r>
        <w:rPr>
          <w:rFonts w:hint="eastAsia"/>
          <w:b/>
          <w:bCs/>
          <w:sz w:val="32"/>
          <w:szCs w:val="32"/>
        </w:rPr>
        <w:t>二、上级补助收入：</w:t>
      </w:r>
      <w:r>
        <w:rPr>
          <w:rFonts w:hint="eastAsia"/>
          <w:sz w:val="32"/>
          <w:szCs w:val="32"/>
        </w:rPr>
        <w:t>指事业单位从主管部门和上级单位取得的非财政补助收入。</w:t>
      </w:r>
    </w:p>
    <w:p>
      <w:pPr>
        <w:spacing w:before="100" w:beforeAutospacing="1" w:after="100" w:afterAutospacing="1" w:line="560" w:lineRule="atLeast"/>
        <w:ind w:firstLine="643"/>
        <w:jc w:val="both"/>
      </w:pPr>
      <w:r>
        <w:rPr>
          <w:rFonts w:hint="eastAsia"/>
          <w:b/>
          <w:bCs/>
          <w:sz w:val="32"/>
          <w:szCs w:val="32"/>
        </w:rPr>
        <w:t>三、财政专户管理教育收费：</w:t>
      </w:r>
      <w:r>
        <w:rPr>
          <w:rFonts w:hint="eastAsia"/>
          <w:sz w:val="32"/>
          <w:szCs w:val="32"/>
        </w:rPr>
        <w:t>指缴入财政专户、实行专项管理的高中以上学费、住宿费、高校委托培养费、函大、电大、夜大及短训班培训费等教育收费。</w:t>
      </w:r>
    </w:p>
    <w:p>
      <w:pPr>
        <w:spacing w:before="100" w:beforeAutospacing="1" w:after="100" w:afterAutospacing="1" w:line="560" w:lineRule="atLeast"/>
        <w:ind w:firstLine="643"/>
        <w:jc w:val="both"/>
      </w:pPr>
      <w:r>
        <w:rPr>
          <w:rFonts w:hint="eastAsia"/>
          <w:b/>
          <w:bCs/>
          <w:sz w:val="32"/>
          <w:szCs w:val="32"/>
        </w:rPr>
        <w:t>四、事业收入：</w:t>
      </w:r>
      <w:r>
        <w:rPr>
          <w:rFonts w:hint="eastAsia"/>
          <w:sz w:val="32"/>
          <w:szCs w:val="32"/>
        </w:rPr>
        <w:t>指事业单位开展专业业务活动及其辅助活动取得的收入。</w:t>
      </w:r>
    </w:p>
    <w:p>
      <w:pPr>
        <w:spacing w:before="100" w:beforeAutospacing="1" w:after="100" w:afterAutospacing="1" w:line="560" w:lineRule="atLeast"/>
        <w:ind w:firstLine="643"/>
        <w:jc w:val="both"/>
      </w:pPr>
      <w:r>
        <w:rPr>
          <w:rFonts w:hint="eastAsia"/>
          <w:b/>
          <w:bCs/>
          <w:sz w:val="32"/>
          <w:szCs w:val="32"/>
        </w:rPr>
        <w:t>五、经营收入：</w:t>
      </w:r>
      <w:r>
        <w:rPr>
          <w:rFonts w:hint="eastAsia"/>
          <w:sz w:val="32"/>
          <w:szCs w:val="32"/>
        </w:rPr>
        <w:t>指事业单位在专业业务活动及其辅助活动之外开展非独立核算经营活动取得的收入。</w:t>
      </w:r>
    </w:p>
    <w:p>
      <w:pPr>
        <w:spacing w:before="100" w:beforeAutospacing="1" w:after="100" w:afterAutospacing="1" w:line="560" w:lineRule="atLeast"/>
        <w:ind w:firstLine="643"/>
        <w:jc w:val="both"/>
      </w:pPr>
      <w:r>
        <w:rPr>
          <w:rFonts w:hint="eastAsia"/>
          <w:b/>
          <w:bCs/>
          <w:sz w:val="32"/>
          <w:szCs w:val="32"/>
        </w:rPr>
        <w:t>六、附属单位上缴收入：</w:t>
      </w:r>
      <w:r>
        <w:rPr>
          <w:rFonts w:hint="eastAsia"/>
          <w:sz w:val="32"/>
          <w:szCs w:val="32"/>
        </w:rPr>
        <w:t>指事业单位附属独立核算单位按照有关规定上缴的收入。</w:t>
      </w:r>
    </w:p>
    <w:p>
      <w:pPr>
        <w:spacing w:before="100" w:beforeAutospacing="1" w:after="100" w:afterAutospacing="1" w:line="560" w:lineRule="atLeast"/>
        <w:ind w:firstLine="643"/>
        <w:jc w:val="both"/>
      </w:pPr>
      <w:r>
        <w:rPr>
          <w:rFonts w:hint="eastAsia"/>
          <w:b/>
          <w:bCs/>
          <w:sz w:val="32"/>
          <w:szCs w:val="32"/>
        </w:rPr>
        <w:t>七、其他收入：</w:t>
      </w:r>
      <w:r>
        <w:rPr>
          <w:rFonts w:hint="eastAsia"/>
          <w:sz w:val="32"/>
          <w:szCs w:val="32"/>
        </w:rPr>
        <w:t>取得的除上述</w:t>
      </w:r>
      <w:r>
        <w:rPr>
          <w:rFonts w:ascii="Times New Roman" w:hAnsi="Times New Roman" w:cs="Times New Roman"/>
          <w:sz w:val="32"/>
          <w:szCs w:val="32"/>
        </w:rPr>
        <w:t>“</w:t>
      </w:r>
      <w:r>
        <w:rPr>
          <w:rFonts w:hint="eastAsia"/>
          <w:sz w:val="32"/>
          <w:szCs w:val="32"/>
        </w:rPr>
        <w:t>财政拨款收入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上级补助收入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事业收入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经营收入</w:t>
      </w:r>
      <w:r>
        <w:rPr>
          <w:rFonts w:ascii="Times New Roman" w:hAnsi="Times New Roman" w:cs="Times New Roman"/>
          <w:sz w:val="32"/>
          <w:szCs w:val="32"/>
        </w:rPr>
        <w:t>”</w:t>
      </w:r>
      <w:r>
        <w:rPr>
          <w:rFonts w:hint="eastAsia"/>
          <w:sz w:val="32"/>
          <w:szCs w:val="32"/>
        </w:rPr>
        <w:t>、</w:t>
      </w:r>
      <w:r>
        <w:rPr>
          <w:rFonts w:ascii="Times New Roman" w:hAnsi="Times New Roman" w:cs="Times New Roman"/>
          <w:sz w:val="32"/>
          <w:szCs w:val="32"/>
        </w:rPr>
        <w:t>“</w:t>
      </w:r>
      <w:r>
        <w:rPr>
          <w:rFonts w:hint="eastAsia"/>
          <w:sz w:val="32"/>
          <w:szCs w:val="32"/>
        </w:rPr>
        <w:t>附属单位上缴收入</w:t>
      </w:r>
      <w:r>
        <w:rPr>
          <w:rFonts w:ascii="Times New Roman" w:hAnsi="Times New Roman" w:cs="Times New Roman"/>
          <w:sz w:val="32"/>
          <w:szCs w:val="32"/>
        </w:rPr>
        <w:t>”</w:t>
      </w:r>
      <w:r>
        <w:rPr>
          <w:rFonts w:hint="eastAsia"/>
          <w:sz w:val="32"/>
          <w:szCs w:val="32"/>
        </w:rPr>
        <w:t>等以外的各项收入。</w:t>
      </w:r>
    </w:p>
    <w:p>
      <w:pPr>
        <w:spacing w:before="100" w:beforeAutospacing="1" w:after="100" w:afterAutospacing="1" w:line="560" w:lineRule="atLeast"/>
        <w:ind w:firstLine="643"/>
        <w:jc w:val="both"/>
      </w:pPr>
      <w:r>
        <w:rPr>
          <w:rFonts w:hint="eastAsia"/>
          <w:b/>
          <w:bCs/>
          <w:sz w:val="32"/>
          <w:szCs w:val="32"/>
        </w:rPr>
        <w:t>八、使用非财政拨款结余：</w:t>
      </w:r>
      <w:r>
        <w:rPr>
          <w:rFonts w:hint="eastAsia"/>
          <w:sz w:val="32"/>
          <w:szCs w:val="32"/>
        </w:rPr>
        <w:t>指事业单位按照预算管理要求使用非财政拨款结余弥补当年收支差额的数额。</w:t>
      </w:r>
    </w:p>
    <w:p>
      <w:pPr>
        <w:spacing w:before="100" w:beforeAutospacing="1" w:after="100" w:afterAutospacing="1" w:line="560" w:lineRule="atLeast"/>
        <w:ind w:firstLine="643"/>
        <w:jc w:val="both"/>
      </w:pPr>
      <w:r>
        <w:rPr>
          <w:rFonts w:hint="eastAsia"/>
          <w:b/>
          <w:bCs/>
          <w:sz w:val="32"/>
          <w:szCs w:val="32"/>
        </w:rPr>
        <w:t>九、年初结转和结余：</w:t>
      </w:r>
      <w:r>
        <w:rPr>
          <w:rFonts w:hint="eastAsia"/>
          <w:sz w:val="32"/>
          <w:szCs w:val="32"/>
        </w:rPr>
        <w:t>指单位上年结转本年使用的基本支出结转、项目支出结转和结余、经营结余。</w:t>
      </w:r>
    </w:p>
    <w:p>
      <w:pPr>
        <w:spacing w:before="100" w:beforeAutospacing="1" w:after="100" w:afterAutospacing="1" w:line="560" w:lineRule="atLeast"/>
        <w:ind w:firstLine="643"/>
        <w:jc w:val="both"/>
      </w:pPr>
      <w:r>
        <w:rPr>
          <w:rFonts w:hint="eastAsia"/>
          <w:b/>
          <w:bCs/>
          <w:sz w:val="32"/>
          <w:szCs w:val="32"/>
        </w:rPr>
        <w:t>十、结余分配：</w:t>
      </w:r>
      <w:r>
        <w:rPr>
          <w:rFonts w:hint="eastAsia"/>
          <w:sz w:val="32"/>
          <w:szCs w:val="32"/>
        </w:rPr>
        <w:t>指事业单位按规定缴纳的所得税以及从非财政拨款结余中提取各类结余的情况。</w:t>
      </w:r>
    </w:p>
    <w:p>
      <w:pPr>
        <w:spacing w:before="100" w:beforeAutospacing="1" w:after="100" w:afterAutospacing="1" w:line="560" w:lineRule="atLeast"/>
        <w:ind w:firstLine="643"/>
        <w:jc w:val="both"/>
      </w:pPr>
      <w:r>
        <w:rPr>
          <w:rFonts w:hint="eastAsia"/>
          <w:b/>
          <w:bCs/>
          <w:sz w:val="32"/>
          <w:szCs w:val="32"/>
        </w:rPr>
        <w:t>十一、年末结转和结余资金：</w:t>
      </w:r>
      <w:r>
        <w:rPr>
          <w:rFonts w:hint="eastAsia"/>
          <w:sz w:val="32"/>
          <w:szCs w:val="32"/>
        </w:rPr>
        <w:t>指单位结转下年的基本支出结转、项目支出结转和结余、经营结余。</w:t>
      </w:r>
    </w:p>
    <w:p>
      <w:pPr>
        <w:spacing w:before="100" w:beforeAutospacing="1" w:after="100" w:afterAutospacing="1" w:line="560" w:lineRule="atLeast"/>
        <w:ind w:firstLine="643"/>
        <w:jc w:val="both"/>
      </w:pPr>
      <w:r>
        <w:rPr>
          <w:rFonts w:hint="eastAsia"/>
          <w:b/>
          <w:bCs/>
          <w:sz w:val="32"/>
          <w:szCs w:val="32"/>
        </w:rPr>
        <w:t>十二、基本支出：</w:t>
      </w:r>
      <w:r>
        <w:rPr>
          <w:rFonts w:hint="eastAsia"/>
          <w:sz w:val="32"/>
          <w:szCs w:val="32"/>
        </w:rPr>
        <w:t>指为保障机构正常运转、完成日常工作任务所发生的支出，包括人员经费和公用经费。</w:t>
      </w:r>
    </w:p>
    <w:p>
      <w:pPr>
        <w:spacing w:before="100" w:beforeAutospacing="1" w:after="100" w:afterAutospacing="1" w:line="560" w:lineRule="atLeast"/>
        <w:ind w:firstLine="643"/>
        <w:jc w:val="both"/>
      </w:pPr>
      <w:r>
        <w:rPr>
          <w:rFonts w:hint="eastAsia"/>
          <w:b/>
          <w:bCs/>
          <w:sz w:val="32"/>
          <w:szCs w:val="32"/>
        </w:rPr>
        <w:t>十三、项目支出：</w:t>
      </w:r>
      <w:r>
        <w:rPr>
          <w:rFonts w:hint="eastAsia"/>
          <w:sz w:val="32"/>
          <w:szCs w:val="32"/>
        </w:rPr>
        <w:t>指在为完成特定的工作任务和事业发展目标所发生的支出。</w:t>
      </w:r>
    </w:p>
    <w:p>
      <w:pPr>
        <w:spacing w:before="100" w:beforeAutospacing="1" w:after="100" w:afterAutospacing="1" w:line="560" w:lineRule="atLeast"/>
        <w:ind w:firstLine="643"/>
        <w:jc w:val="both"/>
      </w:pPr>
      <w:r>
        <w:rPr>
          <w:rFonts w:hint="eastAsia"/>
          <w:b/>
          <w:bCs/>
          <w:sz w:val="32"/>
          <w:szCs w:val="32"/>
        </w:rPr>
        <w:t>十四、上缴上级支出：</w:t>
      </w:r>
      <w:r>
        <w:rPr>
          <w:rFonts w:hint="eastAsia"/>
          <w:sz w:val="32"/>
          <w:szCs w:val="32"/>
        </w:rPr>
        <w:t>指事业单位按照财政部门和主管部门的规定上缴上级单位的支出。</w:t>
      </w:r>
    </w:p>
    <w:p>
      <w:pPr>
        <w:spacing w:before="100" w:beforeAutospacing="1" w:after="100" w:afterAutospacing="1" w:line="560" w:lineRule="atLeast"/>
        <w:ind w:firstLine="643"/>
        <w:jc w:val="both"/>
      </w:pPr>
      <w:r>
        <w:rPr>
          <w:rFonts w:hint="eastAsia"/>
          <w:b/>
          <w:bCs/>
          <w:sz w:val="32"/>
          <w:szCs w:val="32"/>
        </w:rPr>
        <w:t>十五、经营支出：</w:t>
      </w:r>
      <w:r>
        <w:rPr>
          <w:rFonts w:hint="eastAsia"/>
          <w:sz w:val="32"/>
          <w:szCs w:val="32"/>
        </w:rPr>
        <w:t>指事业单位在专业业务活动及其辅助活动之外开展非独立核算经营活动发生的支出。</w:t>
      </w:r>
    </w:p>
    <w:p>
      <w:pPr>
        <w:spacing w:before="100" w:beforeAutospacing="1" w:after="100" w:afterAutospacing="1" w:line="560" w:lineRule="atLeast"/>
        <w:ind w:firstLine="643"/>
        <w:jc w:val="both"/>
      </w:pPr>
      <w:r>
        <w:rPr>
          <w:rFonts w:hint="eastAsia"/>
          <w:b/>
          <w:bCs/>
          <w:sz w:val="32"/>
          <w:szCs w:val="32"/>
        </w:rPr>
        <w:t>十六、对附属单位补助支出：</w:t>
      </w:r>
      <w:r>
        <w:rPr>
          <w:rFonts w:hint="eastAsia"/>
          <w:sz w:val="32"/>
          <w:szCs w:val="32"/>
        </w:rPr>
        <w:t>指事业单位用财政拨款收入之外的收入对附属单位补助发生的支出。</w:t>
      </w:r>
    </w:p>
    <w:p>
      <w:pPr>
        <w:spacing w:before="100" w:beforeAutospacing="1" w:after="100" w:afterAutospacing="1" w:line="560" w:lineRule="atLeast"/>
        <w:ind w:firstLine="643"/>
        <w:jc w:val="both"/>
      </w:pPr>
      <w:r>
        <w:rPr>
          <w:rFonts w:hint="eastAsia"/>
          <w:b/>
          <w:bCs/>
          <w:sz w:val="32"/>
          <w:szCs w:val="32"/>
        </w:rPr>
        <w:t>十七、</w:t>
      </w:r>
      <w:r>
        <w:rPr>
          <w:rFonts w:ascii="Times New Roman" w:hAnsi="Times New Roman" w:cs="Times New Roman"/>
          <w:b/>
          <w:bCs/>
          <w:sz w:val="32"/>
          <w:szCs w:val="32"/>
        </w:rPr>
        <w:t>“</w:t>
      </w:r>
      <w:r>
        <w:rPr>
          <w:rFonts w:hint="eastAsia"/>
          <w:b/>
          <w:bCs/>
          <w:sz w:val="32"/>
          <w:szCs w:val="32"/>
        </w:rPr>
        <w:t>三公</w:t>
      </w:r>
      <w:r>
        <w:rPr>
          <w:rFonts w:ascii="Times New Roman" w:hAnsi="Times New Roman" w:cs="Times New Roman"/>
          <w:b/>
          <w:bCs/>
          <w:sz w:val="32"/>
          <w:szCs w:val="32"/>
        </w:rPr>
        <w:t>”</w:t>
      </w:r>
      <w:r>
        <w:rPr>
          <w:rFonts w:hint="eastAsia"/>
          <w:b/>
          <w:bCs/>
          <w:sz w:val="32"/>
          <w:szCs w:val="32"/>
        </w:rPr>
        <w:t>经费：</w:t>
      </w:r>
      <w:r>
        <w:rPr>
          <w:rFonts w:hint="eastAsia"/>
          <w:sz w:val="32"/>
          <w:szCs w:val="32"/>
        </w:rPr>
        <w:t>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pPr>
        <w:spacing w:before="100" w:beforeAutospacing="1" w:after="100" w:afterAutospacing="1" w:line="560" w:lineRule="atLeast"/>
        <w:ind w:firstLine="643"/>
        <w:jc w:val="both"/>
      </w:pPr>
      <w:r>
        <w:rPr>
          <w:rFonts w:hint="eastAsia"/>
          <w:b/>
          <w:bCs/>
          <w:sz w:val="32"/>
          <w:szCs w:val="32"/>
        </w:rPr>
        <w:t>十八、机构运行经费：</w:t>
      </w:r>
      <w:r>
        <w:rPr>
          <w:rFonts w:hint="eastAsia"/>
          <w:sz w:val="32"/>
          <w:szCs w:val="32"/>
        </w:rPr>
        <w:t>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r>
        <w:rPr>
          <w:rFonts w:ascii="Times New Roman" w:hAnsi="Times New Roman" w:cs="Times New Roman"/>
          <w:sz w:val="21"/>
          <w:szCs w:val="21"/>
        </w:rPr>
        <w:t> </w:t>
      </w:r>
    </w:p>
    <w:p>
      <w:pPr>
        <w:pStyle w:val="3"/>
        <w:keepNext/>
        <w:spacing w:line="360" w:lineRule="auto"/>
        <w:jc w:val="center"/>
      </w:pPr>
      <w:r>
        <w:rPr>
          <w:rFonts w:hint="eastAsia" w:ascii="方正小标宋简体" w:eastAsia="方正小标宋简体"/>
        </w:rPr>
        <w:t>第四部分 决算公开联系方式及信息反馈渠道</w:t>
      </w:r>
    </w:p>
    <w:p>
      <w:pPr>
        <w:spacing w:before="100" w:beforeAutospacing="1" w:after="100" w:afterAutospacing="1" w:line="600" w:lineRule="atLeast"/>
        <w:jc w:val="both"/>
      </w:pPr>
      <w:r>
        <w:rPr>
          <w:rFonts w:ascii="Times New Roman" w:hAnsi="Times New Roman" w:cs="Times New Roman"/>
          <w:sz w:val="36"/>
          <w:szCs w:val="36"/>
        </w:rPr>
        <w:t> </w:t>
      </w:r>
    </w:p>
    <w:p>
      <w:pPr>
        <w:spacing w:before="100" w:beforeAutospacing="1" w:after="100" w:afterAutospacing="1" w:line="600" w:lineRule="atLeast"/>
        <w:ind w:firstLine="640"/>
        <w:jc w:val="both"/>
      </w:pPr>
      <w:r>
        <w:rPr>
          <w:rFonts w:hint="eastAsia"/>
          <w:sz w:val="32"/>
          <w:szCs w:val="32"/>
        </w:rPr>
        <w:t>本单位决算公开信息反馈和联系方式：</w:t>
      </w:r>
    </w:p>
    <w:p>
      <w:pPr>
        <w:spacing w:before="100" w:beforeAutospacing="1" w:after="100" w:afterAutospacing="1"/>
      </w:pPr>
      <w:r>
        <w:rPr>
          <w:rFonts w:hint="eastAsia"/>
          <w:sz w:val="32"/>
          <w:szCs w:val="32"/>
        </w:rPr>
        <w:t>联系人：</w:t>
      </w:r>
      <w:r>
        <w:rPr>
          <w:rFonts w:ascii="Times New Roman" w:hAnsi="Times New Roman" w:cs="Times New Roman"/>
          <w:sz w:val="32"/>
          <w:szCs w:val="32"/>
          <w:u w:val="single"/>
        </w:rPr>
        <w:t xml:space="preserve"> </w:t>
      </w:r>
      <w:r>
        <w:rPr>
          <w:rFonts w:hint="eastAsia" w:ascii="Times New Roman" w:hAnsi="Times New Roman" w:cs="Times New Roman"/>
          <w:sz w:val="32"/>
          <w:szCs w:val="32"/>
          <w:u w:val="single"/>
        </w:rPr>
        <w:t>王薇</w:t>
      </w:r>
      <w:r>
        <w:rPr>
          <w:rFonts w:ascii="Times New Roman" w:hAnsi="Times New Roman" w:cs="Times New Roman"/>
          <w:sz w:val="32"/>
          <w:szCs w:val="32"/>
          <w:u w:val="single"/>
        </w:rPr>
        <w:t xml:space="preserve"> </w:t>
      </w:r>
      <w:r>
        <w:rPr>
          <w:rFonts w:hint="eastAsia"/>
          <w:sz w:val="32"/>
          <w:szCs w:val="32"/>
        </w:rPr>
        <w:t>       联系电话：0470-2283011</w:t>
      </w:r>
    </w:p>
    <w:p>
      <w:pPr>
        <w:spacing w:before="100" w:beforeAutospacing="1" w:after="100" w:afterAutospacing="1"/>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roma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docVars>
    <w:docVar w:name="commondata" w:val="eyJoZGlkIjoiOTdhZDMxM2NiMjk4MzYxMTZmMzhmMGI1ZWMyNjY3NzAifQ=="/>
  </w:docVars>
  <w:rsids>
    <w:rsidRoot w:val="0076120F"/>
    <w:rsid w:val="00031613"/>
    <w:rsid w:val="00061713"/>
    <w:rsid w:val="0006496C"/>
    <w:rsid w:val="000B0FB5"/>
    <w:rsid w:val="000C2041"/>
    <w:rsid w:val="000D15A5"/>
    <w:rsid w:val="000F14DD"/>
    <w:rsid w:val="00122007"/>
    <w:rsid w:val="001574CD"/>
    <w:rsid w:val="001B3F51"/>
    <w:rsid w:val="001E215D"/>
    <w:rsid w:val="00250B82"/>
    <w:rsid w:val="002510D5"/>
    <w:rsid w:val="002C0941"/>
    <w:rsid w:val="002C1BE6"/>
    <w:rsid w:val="002E2567"/>
    <w:rsid w:val="003F4701"/>
    <w:rsid w:val="00436860"/>
    <w:rsid w:val="004539D1"/>
    <w:rsid w:val="00477253"/>
    <w:rsid w:val="0049108B"/>
    <w:rsid w:val="004F1BFF"/>
    <w:rsid w:val="0050581C"/>
    <w:rsid w:val="00555A22"/>
    <w:rsid w:val="005B28E1"/>
    <w:rsid w:val="005D1ED1"/>
    <w:rsid w:val="00637B14"/>
    <w:rsid w:val="0067316D"/>
    <w:rsid w:val="006C7852"/>
    <w:rsid w:val="007165C9"/>
    <w:rsid w:val="00726363"/>
    <w:rsid w:val="007301B3"/>
    <w:rsid w:val="0076120F"/>
    <w:rsid w:val="007B0B6A"/>
    <w:rsid w:val="007C1165"/>
    <w:rsid w:val="007C5F07"/>
    <w:rsid w:val="007D3FA6"/>
    <w:rsid w:val="0081755F"/>
    <w:rsid w:val="00832F73"/>
    <w:rsid w:val="00851516"/>
    <w:rsid w:val="00867773"/>
    <w:rsid w:val="008C2CFB"/>
    <w:rsid w:val="009331A5"/>
    <w:rsid w:val="0097510E"/>
    <w:rsid w:val="009944E2"/>
    <w:rsid w:val="009B0A47"/>
    <w:rsid w:val="009D7349"/>
    <w:rsid w:val="00A15B57"/>
    <w:rsid w:val="00A2019D"/>
    <w:rsid w:val="00A43B53"/>
    <w:rsid w:val="00A54A3A"/>
    <w:rsid w:val="00A86E66"/>
    <w:rsid w:val="00A96B2E"/>
    <w:rsid w:val="00AA177C"/>
    <w:rsid w:val="00B303FC"/>
    <w:rsid w:val="00B6594D"/>
    <w:rsid w:val="00BA7B93"/>
    <w:rsid w:val="00BC1BD0"/>
    <w:rsid w:val="00C07FAD"/>
    <w:rsid w:val="00C52CF0"/>
    <w:rsid w:val="00CB5E74"/>
    <w:rsid w:val="00CB6886"/>
    <w:rsid w:val="00CC0B1B"/>
    <w:rsid w:val="00CE7618"/>
    <w:rsid w:val="00D24280"/>
    <w:rsid w:val="00D259F1"/>
    <w:rsid w:val="00D34D12"/>
    <w:rsid w:val="00DF56D9"/>
    <w:rsid w:val="00E271EF"/>
    <w:rsid w:val="00E509D9"/>
    <w:rsid w:val="00E63D91"/>
    <w:rsid w:val="00F637EA"/>
    <w:rsid w:val="00FA1A2A"/>
    <w:rsid w:val="00FA2DEF"/>
    <w:rsid w:val="05FF4821"/>
    <w:rsid w:val="7409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0"/>
    <w:qFormat/>
    <w:uiPriority w:val="9"/>
    <w:pPr>
      <w:spacing w:before="100" w:beforeAutospacing="1" w:after="100" w:afterAutospacing="1"/>
      <w:outlineLvl w:val="0"/>
    </w:pPr>
    <w:rPr>
      <w:b/>
      <w:bCs/>
      <w:kern w:val="36"/>
      <w:sz w:val="48"/>
      <w:szCs w:val="48"/>
    </w:rPr>
  </w:style>
  <w:style w:type="paragraph" w:styleId="3">
    <w:name w:val="heading 2"/>
    <w:basedOn w:val="1"/>
    <w:next w:val="1"/>
    <w:link w:val="11"/>
    <w:qFormat/>
    <w:uiPriority w:val="9"/>
    <w:pPr>
      <w:spacing w:before="100" w:beforeAutospacing="1" w:after="100" w:afterAutospacing="1"/>
      <w:outlineLvl w:val="1"/>
    </w:pPr>
    <w:rPr>
      <w:b/>
      <w:bCs/>
      <w:sz w:val="36"/>
      <w:szCs w:val="36"/>
    </w:rPr>
  </w:style>
  <w:style w:type="character" w:default="1" w:styleId="9">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3"/>
    <w:semiHidden/>
    <w:unhideWhenUsed/>
    <w:qFormat/>
    <w:uiPriority w:val="99"/>
    <w:pPr>
      <w:tabs>
        <w:tab w:val="center" w:pos="4153"/>
        <w:tab w:val="right" w:pos="8306"/>
      </w:tabs>
      <w:snapToGrid w:val="0"/>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locked/>
    <w:uiPriority w:val="9"/>
    <w:rPr>
      <w:rFonts w:hint="eastAsia" w:ascii="宋体" w:hAnsi="宋体" w:eastAsia="宋体" w:cs="宋体"/>
      <w:b/>
      <w:bCs/>
      <w:kern w:val="44"/>
      <w:sz w:val="44"/>
      <w:szCs w:val="44"/>
    </w:rPr>
  </w:style>
  <w:style w:type="character" w:customStyle="1" w:styleId="11">
    <w:name w:val="标题 2 字符"/>
    <w:basedOn w:val="9"/>
    <w:link w:val="3"/>
    <w:semiHidden/>
    <w:locked/>
    <w:uiPriority w:val="9"/>
    <w:rPr>
      <w:rFonts w:hint="default" w:asciiTheme="majorHAnsi" w:hAnsiTheme="majorHAnsi" w:eastAsiaTheme="majorEastAsia" w:cstheme="majorBidi"/>
      <w:b/>
      <w:bCs/>
      <w:sz w:val="32"/>
      <w:szCs w:val="32"/>
    </w:rPr>
  </w:style>
  <w:style w:type="character" w:customStyle="1" w:styleId="12">
    <w:name w:val="页眉 字符"/>
    <w:basedOn w:val="9"/>
    <w:link w:val="6"/>
    <w:semiHidden/>
    <w:qFormat/>
    <w:uiPriority w:val="99"/>
    <w:rPr>
      <w:rFonts w:ascii="宋体" w:hAnsi="宋体" w:eastAsia="宋体" w:cs="宋体"/>
      <w:sz w:val="18"/>
      <w:szCs w:val="18"/>
    </w:rPr>
  </w:style>
  <w:style w:type="character" w:customStyle="1" w:styleId="13">
    <w:name w:val="页脚 字符"/>
    <w:basedOn w:val="9"/>
    <w:link w:val="5"/>
    <w:semiHidden/>
    <w:uiPriority w:val="99"/>
    <w:rPr>
      <w:rFonts w:ascii="宋体" w:hAnsi="宋体" w:eastAsia="宋体" w:cs="宋体"/>
      <w:sz w:val="18"/>
      <w:szCs w:val="18"/>
    </w:rPr>
  </w:style>
  <w:style w:type="character" w:customStyle="1" w:styleId="14">
    <w:name w:val="批注框文本 字符"/>
    <w:basedOn w:val="9"/>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收入情况</c:v>
                </c:pt>
              </c:strCache>
            </c:strRef>
          </c:tx>
          <c:explosion val="0"/>
          <c:dPt>
            <c:idx val="0"/>
            <c:bubble3D val="0"/>
          </c:dPt>
          <c:dPt>
            <c:idx val="1"/>
            <c:bubble3D val="0"/>
          </c:dPt>
          <c:dPt>
            <c:idx val="2"/>
            <c:bubble3D val="0"/>
          </c:dPt>
          <c:dPt>
            <c:idx val="3"/>
            <c:bubble3D val="0"/>
          </c:dPt>
          <c:dLbls>
            <c:delete val="1"/>
          </c:dLbls>
          <c:cat>
            <c:strRef>
              <c:f>Sheet1!$A$2:$A$5</c:f>
              <c:strCache>
                <c:ptCount val="4"/>
                <c:pt idx="0">
                  <c:v>一般公共预算财政拨款收入</c:v>
                </c:pt>
                <c:pt idx="1">
                  <c:v>政府性基金预算财政拨款收入</c:v>
                </c:pt>
                <c:pt idx="2">
                  <c:v>事业收入</c:v>
                </c:pt>
                <c:pt idx="3">
                  <c:v>其他收入</c:v>
                </c:pt>
              </c:strCache>
            </c:strRef>
          </c:cat>
          <c:val>
            <c:numRef>
              <c:f>Sheet1!$B$2:$B$5</c:f>
              <c:numCache>
                <c:formatCode>General</c:formatCode>
                <c:ptCount val="4"/>
                <c:pt idx="0">
                  <c:v>16963.39</c:v>
                </c:pt>
                <c:pt idx="1">
                  <c:v>5000</c:v>
                </c:pt>
                <c:pt idx="2">
                  <c:v>1809.13</c:v>
                </c:pt>
                <c:pt idx="3">
                  <c:v>79.1</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支出情况</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15365.85</c:v>
                </c:pt>
                <c:pt idx="1">
                  <c:v>7757.59</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14414</Words>
  <Characters>16358</Characters>
  <Lines>129</Lines>
  <Paragraphs>36</Paragraphs>
  <TotalTime>7</TotalTime>
  <ScaleCrop>false</ScaleCrop>
  <LinksUpToDate>false</LinksUpToDate>
  <CharactersWithSpaces>16796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2023-09-11T01:36:00Z</dcterms:created>
  <dc:creator>王薇</dc:creator>
  <cp:lastModifiedBy>QQ</cp:lastModifiedBy>
  <dcterms:modified xsi:type="dcterms:W3CDTF">2023-09-23T02:47:05Z</dcterms:modified>
  <dc:title>DWZDM</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816AA03E312340D985B4EC2D45F9AD8F_12</vt:lpwstr>
  </property>
</Properties>
</file>